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9C" w:rsidRDefault="00B65A9C" w:rsidP="00B65A9C">
      <w:pPr>
        <w:jc w:val="center"/>
        <w:rPr>
          <w:b/>
          <w:bCs/>
          <w:sz w:val="32"/>
          <w:szCs w:val="32"/>
          <w:u w:val="single"/>
          <w:rtl/>
        </w:rPr>
      </w:pPr>
      <w:r>
        <w:rPr>
          <w:b/>
          <w:bCs/>
          <w:sz w:val="32"/>
          <w:szCs w:val="32"/>
          <w:u w:val="single"/>
          <w:rtl/>
        </w:rPr>
        <w:t xml:space="preserve">עמדת אמונה לעניין </w:t>
      </w:r>
      <w:r>
        <w:rPr>
          <w:rFonts w:hint="cs"/>
          <w:b/>
          <w:bCs/>
          <w:sz w:val="32"/>
          <w:szCs w:val="32"/>
          <w:u w:val="single"/>
          <w:rtl/>
        </w:rPr>
        <w:t>"ה</w:t>
      </w:r>
      <w:bookmarkStart w:id="0" w:name="_GoBack"/>
      <w:bookmarkEnd w:id="0"/>
      <w:r>
        <w:rPr>
          <w:rFonts w:hint="cs"/>
          <w:b/>
          <w:bCs/>
          <w:sz w:val="32"/>
          <w:szCs w:val="32"/>
          <w:u w:val="single"/>
          <w:rtl/>
        </w:rPr>
        <w:t>צעת חוק הסבים והסבתות"</w:t>
      </w:r>
      <w:r w:rsidR="008D48B5">
        <w:rPr>
          <w:rFonts w:hint="cs"/>
          <w:b/>
          <w:bCs/>
          <w:sz w:val="32"/>
          <w:szCs w:val="32"/>
          <w:u w:val="single"/>
          <w:rtl/>
        </w:rPr>
        <w:t>-</w:t>
      </w:r>
    </w:p>
    <w:p w:rsidR="00FF6D36" w:rsidRPr="00FA0F40" w:rsidRDefault="00B65A9C" w:rsidP="00FA0F40">
      <w:pPr>
        <w:jc w:val="center"/>
        <w:rPr>
          <w:b/>
          <w:bCs/>
          <w:sz w:val="32"/>
          <w:szCs w:val="32"/>
          <w:u w:val="single"/>
          <w:rtl/>
        </w:rPr>
      </w:pPr>
      <w:r>
        <w:rPr>
          <w:rFonts w:hint="cs"/>
          <w:b/>
          <w:bCs/>
          <w:sz w:val="32"/>
          <w:szCs w:val="32"/>
          <w:u w:val="single"/>
          <w:rtl/>
        </w:rPr>
        <w:t xml:space="preserve">קשר בין קטין ובין הורי הוריו </w:t>
      </w:r>
    </w:p>
    <w:p w:rsidR="004843CF" w:rsidRDefault="00FF6D36" w:rsidP="004843CF">
      <w:pPr>
        <w:jc w:val="both"/>
        <w:rPr>
          <w:rtl/>
        </w:rPr>
      </w:pPr>
      <w:r>
        <w:rPr>
          <w:rFonts w:hint="cs"/>
          <w:rtl/>
        </w:rPr>
        <w:t>"</w:t>
      </w:r>
      <w:r w:rsidRPr="00036280">
        <w:rPr>
          <w:rFonts w:hint="cs"/>
          <w:b/>
          <w:bCs/>
          <w:rtl/>
        </w:rPr>
        <w:t>בני בנים הרי הם כבנים</w:t>
      </w:r>
      <w:r>
        <w:rPr>
          <w:rFonts w:hint="cs"/>
          <w:rtl/>
        </w:rPr>
        <w:t>" (</w:t>
      </w:r>
      <w:r>
        <w:rPr>
          <w:rFonts w:hint="cs"/>
          <w:sz w:val="16"/>
          <w:szCs w:val="16"/>
          <w:rtl/>
        </w:rPr>
        <w:t xml:space="preserve">גמרא, </w:t>
      </w:r>
      <w:r w:rsidRPr="00997B75">
        <w:rPr>
          <w:rFonts w:hint="cs"/>
          <w:sz w:val="16"/>
          <w:szCs w:val="16"/>
          <w:rtl/>
        </w:rPr>
        <w:t>מסכת יבמות,</w:t>
      </w:r>
      <w:r>
        <w:rPr>
          <w:rFonts w:hint="cs"/>
          <w:sz w:val="16"/>
          <w:szCs w:val="16"/>
          <w:rtl/>
        </w:rPr>
        <w:t xml:space="preserve"> דף </w:t>
      </w:r>
      <w:r w:rsidRPr="00997B75">
        <w:rPr>
          <w:rFonts w:hint="cs"/>
          <w:sz w:val="16"/>
          <w:szCs w:val="16"/>
          <w:rtl/>
        </w:rPr>
        <w:t>סב</w:t>
      </w:r>
      <w:r>
        <w:rPr>
          <w:rFonts w:hint="cs"/>
          <w:sz w:val="16"/>
          <w:szCs w:val="16"/>
          <w:rtl/>
        </w:rPr>
        <w:t xml:space="preserve"> </w:t>
      </w:r>
      <w:r w:rsidRPr="00997B75">
        <w:rPr>
          <w:rFonts w:hint="cs"/>
          <w:sz w:val="16"/>
          <w:szCs w:val="16"/>
          <w:rtl/>
        </w:rPr>
        <w:t>,ע"ב</w:t>
      </w:r>
      <w:r>
        <w:rPr>
          <w:rFonts w:hint="cs"/>
          <w:rtl/>
        </w:rPr>
        <w:t>)</w:t>
      </w:r>
      <w:r w:rsidR="00036280">
        <w:rPr>
          <w:rFonts w:hint="cs"/>
          <w:rtl/>
        </w:rPr>
        <w:t>.</w:t>
      </w:r>
    </w:p>
    <w:p w:rsidR="006008B1" w:rsidRDefault="006008B1" w:rsidP="004843CF">
      <w:pPr>
        <w:jc w:val="both"/>
        <w:rPr>
          <w:rtl/>
        </w:rPr>
      </w:pPr>
      <w:r>
        <w:rPr>
          <w:rFonts w:hint="cs"/>
          <w:rtl/>
        </w:rPr>
        <w:t>במצבים של סכסוך או משבר משפחתי (כגון גירושין), בהם ההורה מנתק את הקשר בין הקטין/</w:t>
      </w:r>
      <w:proofErr w:type="spellStart"/>
      <w:r>
        <w:rPr>
          <w:rFonts w:hint="cs"/>
          <w:rtl/>
        </w:rPr>
        <w:t>נה</w:t>
      </w:r>
      <w:proofErr w:type="spellEnd"/>
      <w:r>
        <w:rPr>
          <w:rFonts w:hint="cs"/>
          <w:rtl/>
        </w:rPr>
        <w:t xml:space="preserve"> לבין הורי ההורה השני, לא קיימת בדין הישראלי זכות מפורשת לסב ולסבתא לגבי נכדיהם, כלומר, אין </w:t>
      </w:r>
      <w:r w:rsidRPr="006D3456">
        <w:rPr>
          <w:rFonts w:cs="Arial" w:hint="cs"/>
          <w:rtl/>
        </w:rPr>
        <w:t>הוראת</w:t>
      </w:r>
      <w:r w:rsidRPr="006D3456">
        <w:rPr>
          <w:rFonts w:cs="Arial"/>
          <w:rtl/>
        </w:rPr>
        <w:t xml:space="preserve"> </w:t>
      </w:r>
      <w:r w:rsidRPr="006D3456">
        <w:rPr>
          <w:rFonts w:cs="Arial" w:hint="cs"/>
          <w:rtl/>
        </w:rPr>
        <w:t>חוק</w:t>
      </w:r>
      <w:r w:rsidRPr="006D3456">
        <w:rPr>
          <w:rFonts w:cs="Arial"/>
          <w:rtl/>
        </w:rPr>
        <w:t xml:space="preserve"> </w:t>
      </w:r>
      <w:r w:rsidRPr="006D3456">
        <w:rPr>
          <w:rFonts w:cs="Arial" w:hint="cs"/>
          <w:rtl/>
        </w:rPr>
        <w:t>ספציפית</w:t>
      </w:r>
      <w:r w:rsidRPr="006D3456">
        <w:rPr>
          <w:rFonts w:cs="Arial"/>
          <w:rtl/>
        </w:rPr>
        <w:t xml:space="preserve"> </w:t>
      </w:r>
      <w:r>
        <w:rPr>
          <w:rFonts w:hint="cs"/>
          <w:rtl/>
        </w:rPr>
        <w:t>המאפשרת להביא בחשבון בקשת סבים וסבתות להתראות עם נכדיהם, וזאת כל עוד ההורים מתנגדים מסיבה זו או אחרת לזכויות הביקור המבוקשות.</w:t>
      </w:r>
    </w:p>
    <w:p w:rsidR="00780D8F" w:rsidRDefault="00780D8F" w:rsidP="006008B1">
      <w:pPr>
        <w:jc w:val="both"/>
      </w:pPr>
      <w:r>
        <w:rPr>
          <w:rFonts w:hint="cs"/>
          <w:rtl/>
        </w:rPr>
        <w:t xml:space="preserve">החוק העיקרי העוסק בזכותם של סבים </w:t>
      </w:r>
      <w:r w:rsidR="004843CF">
        <w:rPr>
          <w:rFonts w:hint="cs"/>
          <w:rtl/>
        </w:rPr>
        <w:t xml:space="preserve">וסבתות </w:t>
      </w:r>
      <w:r>
        <w:rPr>
          <w:rFonts w:hint="cs"/>
          <w:rtl/>
        </w:rPr>
        <w:t>ל</w:t>
      </w:r>
      <w:r w:rsidR="006008B1">
        <w:rPr>
          <w:rFonts w:hint="cs"/>
          <w:rtl/>
        </w:rPr>
        <w:t>הת</w:t>
      </w:r>
      <w:r>
        <w:rPr>
          <w:rFonts w:hint="cs"/>
          <w:rtl/>
        </w:rPr>
        <w:t xml:space="preserve">ראות </w:t>
      </w:r>
      <w:r w:rsidR="006008B1">
        <w:rPr>
          <w:rFonts w:hint="cs"/>
          <w:rtl/>
        </w:rPr>
        <w:t xml:space="preserve">עם </w:t>
      </w:r>
      <w:r>
        <w:rPr>
          <w:rFonts w:hint="cs"/>
          <w:rtl/>
        </w:rPr>
        <w:t>נכדיהם הוא חוק הכשרות המ</w:t>
      </w:r>
      <w:r w:rsidR="00F30300">
        <w:rPr>
          <w:rFonts w:hint="cs"/>
          <w:rtl/>
        </w:rPr>
        <w:t>שפטית והאפוטרופסות</w:t>
      </w:r>
      <w:r w:rsidR="00FF6D36">
        <w:rPr>
          <w:rFonts w:hint="cs"/>
          <w:rtl/>
        </w:rPr>
        <w:t>, תשכ"ב- 1962</w:t>
      </w:r>
      <w:r w:rsidR="00F30300">
        <w:rPr>
          <w:rFonts w:hint="cs"/>
          <w:rtl/>
        </w:rPr>
        <w:t xml:space="preserve"> (להלן: "החוק</w:t>
      </w:r>
      <w:r>
        <w:rPr>
          <w:rFonts w:hint="cs"/>
          <w:rtl/>
        </w:rPr>
        <w:t xml:space="preserve">"). החוק קובע באופן ברור כי להורי הקטין מעמד על וראשוני ביחס לילדיהם הקטינים. הסעיף היחיד בחוק המתייחס במישרין למערכת היחסים בין סבים לנכדיהם ולהסדרי ראיה נאותים ביניהם הוא סעיף 28 א לחוק. </w:t>
      </w:r>
    </w:p>
    <w:p w:rsidR="007943AD" w:rsidRDefault="00780D8F" w:rsidP="00B65A9C">
      <w:pPr>
        <w:jc w:val="both"/>
        <w:rPr>
          <w:rtl/>
        </w:rPr>
      </w:pPr>
      <w:r>
        <w:rPr>
          <w:rFonts w:hint="cs"/>
          <w:rtl/>
        </w:rPr>
        <w:t>סעיף זה קובע את זכותם של הורים שכולים להסדרי ראיה עם נכדיהם, כלומר, אם מת אחד מההורים של הקטין, בית המשפט רשאי לתת הוראות בעניין הסדרי הראיה שבין הורי המת לבין הקטין.</w:t>
      </w:r>
      <w:r w:rsidR="00D87DB6">
        <w:rPr>
          <w:rFonts w:hint="cs"/>
          <w:rtl/>
        </w:rPr>
        <w:t xml:space="preserve"> </w:t>
      </w:r>
      <w:r w:rsidR="0019672B">
        <w:rPr>
          <w:rFonts w:hint="cs"/>
          <w:rtl/>
        </w:rPr>
        <w:t>הסמכות הניתנת על פי סעיף 28 א לחוק מוגבלת</w:t>
      </w:r>
      <w:r w:rsidR="00F30300">
        <w:rPr>
          <w:rFonts w:hint="cs"/>
          <w:rtl/>
        </w:rPr>
        <w:t>, כאמור,</w:t>
      </w:r>
      <w:r w:rsidR="0019672B">
        <w:rPr>
          <w:rFonts w:hint="cs"/>
          <w:rtl/>
        </w:rPr>
        <w:t xml:space="preserve"> להורה שכול בלבד.</w:t>
      </w:r>
    </w:p>
    <w:p w:rsidR="00A816EB" w:rsidRDefault="0019672B" w:rsidP="00FA0F40">
      <w:pPr>
        <w:jc w:val="both"/>
        <w:rPr>
          <w:rtl/>
        </w:rPr>
      </w:pPr>
      <w:r>
        <w:rPr>
          <w:rFonts w:hint="cs"/>
          <w:rtl/>
        </w:rPr>
        <w:t>לעיתים</w:t>
      </w:r>
      <w:r w:rsidR="00F30300">
        <w:rPr>
          <w:rFonts w:hint="cs"/>
          <w:rtl/>
        </w:rPr>
        <w:t>,</w:t>
      </w:r>
      <w:r>
        <w:rPr>
          <w:rFonts w:hint="cs"/>
          <w:rtl/>
        </w:rPr>
        <w:t xml:space="preserve"> </w:t>
      </w:r>
      <w:r w:rsidR="00F30300">
        <w:rPr>
          <w:rFonts w:hint="cs"/>
          <w:rtl/>
        </w:rPr>
        <w:t>נעשה ב</w:t>
      </w:r>
      <w:r>
        <w:rPr>
          <w:rFonts w:hint="cs"/>
          <w:rtl/>
        </w:rPr>
        <w:t xml:space="preserve">פסיקה </w:t>
      </w:r>
      <w:r w:rsidR="007943AD">
        <w:rPr>
          <w:rFonts w:hint="cs"/>
          <w:rtl/>
        </w:rPr>
        <w:t>שימוש בסעיף 68 לחוק המקנה לביהמ"ש סמכות רחבה להיטיב עם קטינים ולהורות הוראות נחוצות בעניינם, ו</w:t>
      </w:r>
      <w:r w:rsidR="003545BF">
        <w:rPr>
          <w:rFonts w:hint="cs"/>
          <w:rtl/>
        </w:rPr>
        <w:t xml:space="preserve">מכוחו </w:t>
      </w:r>
      <w:r w:rsidR="00FF6D36">
        <w:rPr>
          <w:rFonts w:hint="cs"/>
          <w:rtl/>
        </w:rPr>
        <w:t xml:space="preserve">הותרה </w:t>
      </w:r>
      <w:r w:rsidR="003545BF">
        <w:rPr>
          <w:rFonts w:hint="cs"/>
          <w:rtl/>
        </w:rPr>
        <w:t>ז</w:t>
      </w:r>
      <w:r w:rsidR="00FA0F40">
        <w:rPr>
          <w:rFonts w:hint="cs"/>
          <w:rtl/>
        </w:rPr>
        <w:t>כותם של הסבים והסבתות, גם במצבי משבר משפחתיים</w:t>
      </w:r>
      <w:r>
        <w:rPr>
          <w:rFonts w:hint="cs"/>
          <w:rtl/>
        </w:rPr>
        <w:t xml:space="preserve"> להגיש בקשה</w:t>
      </w:r>
      <w:r w:rsidR="006008B1">
        <w:rPr>
          <w:rFonts w:hint="cs"/>
          <w:rtl/>
        </w:rPr>
        <w:t>.</w:t>
      </w:r>
      <w:r>
        <w:rPr>
          <w:rFonts w:hint="cs"/>
          <w:rtl/>
        </w:rPr>
        <w:t xml:space="preserve"> לעיתים נדחו על הסף תביעותיהם של סבים וסבתות בעניין זה בטענה כי </w:t>
      </w:r>
      <w:r w:rsidR="00F30300">
        <w:rPr>
          <w:rFonts w:hint="cs"/>
          <w:rtl/>
        </w:rPr>
        <w:t xml:space="preserve">אין </w:t>
      </w:r>
      <w:r w:rsidR="006D3456">
        <w:rPr>
          <w:rFonts w:hint="cs"/>
          <w:rtl/>
        </w:rPr>
        <w:t xml:space="preserve">הסדרה חוקית מפורשת </w:t>
      </w:r>
      <w:r w:rsidR="00F30300">
        <w:rPr>
          <w:rFonts w:hint="cs"/>
          <w:rtl/>
        </w:rPr>
        <w:t>ה</w:t>
      </w:r>
      <w:r>
        <w:rPr>
          <w:rFonts w:hint="cs"/>
          <w:rtl/>
        </w:rPr>
        <w:t>מקנה להם סמכות ליזום הליכים אלו.</w:t>
      </w:r>
    </w:p>
    <w:p w:rsidR="00A816EB" w:rsidRDefault="00A816EB" w:rsidP="006D3456">
      <w:pPr>
        <w:jc w:val="both"/>
        <w:rPr>
          <w:rtl/>
        </w:rPr>
      </w:pPr>
      <w:r>
        <w:rPr>
          <w:rFonts w:hint="cs"/>
          <w:rtl/>
        </w:rPr>
        <w:t xml:space="preserve">הצעת חוק הכשרות המשפטית והאפוטרופסות (תיקון מס' 17) (קשר בין קטין ובין הורי הוריו), </w:t>
      </w:r>
      <w:proofErr w:type="spellStart"/>
      <w:r>
        <w:rPr>
          <w:rFonts w:hint="cs"/>
          <w:rtl/>
        </w:rPr>
        <w:t>התשע"ב</w:t>
      </w:r>
      <w:proofErr w:type="spellEnd"/>
      <w:r>
        <w:rPr>
          <w:rFonts w:hint="cs"/>
          <w:rtl/>
        </w:rPr>
        <w:t>- 2012 בשמה המלא, או כפי שהיא מכונה בקצרה "הצעת חוק הסבים והסבתות" ואשר נדונה בימים אלו, מבקשת לאפשר לסבים ולסבתות לפנות לבית המשפט בבקשה לקביעת הסדרי ראיה בינם ובין נכדיהם</w:t>
      </w:r>
      <w:r w:rsidR="006F2611">
        <w:rPr>
          <w:rFonts w:hint="cs"/>
          <w:rtl/>
        </w:rPr>
        <w:t xml:space="preserve"> בכל מקרה</w:t>
      </w:r>
      <w:r>
        <w:rPr>
          <w:rFonts w:hint="cs"/>
          <w:rtl/>
        </w:rPr>
        <w:t>,</w:t>
      </w:r>
      <w:r w:rsidR="006F2611">
        <w:rPr>
          <w:rFonts w:hint="cs"/>
          <w:rtl/>
        </w:rPr>
        <w:t xml:space="preserve"> ולא רק כאשר אחד ההורים נפטר,</w:t>
      </w:r>
      <w:r>
        <w:rPr>
          <w:rFonts w:hint="cs"/>
          <w:rtl/>
        </w:rPr>
        <w:t xml:space="preserve"> וזאת לאחר שבית המשפט ישקול את </w:t>
      </w:r>
      <w:r w:rsidR="006D3456">
        <w:rPr>
          <w:rFonts w:hint="cs"/>
          <w:rtl/>
        </w:rPr>
        <w:t xml:space="preserve">הסדרת </w:t>
      </w:r>
      <w:r>
        <w:rPr>
          <w:rFonts w:hint="cs"/>
          <w:rtl/>
        </w:rPr>
        <w:t xml:space="preserve">הקשר מתוך </w:t>
      </w:r>
      <w:proofErr w:type="spellStart"/>
      <w:r w:rsidR="009332E9">
        <w:rPr>
          <w:rFonts w:hint="cs"/>
          <w:rtl/>
        </w:rPr>
        <w:t>ה</w:t>
      </w:r>
      <w:r>
        <w:rPr>
          <w:rFonts w:hint="cs"/>
          <w:rtl/>
        </w:rPr>
        <w:t>עקרון</w:t>
      </w:r>
      <w:proofErr w:type="spellEnd"/>
      <w:r>
        <w:rPr>
          <w:rFonts w:hint="cs"/>
          <w:rtl/>
        </w:rPr>
        <w:t xml:space="preserve"> המנחה של טובת הילד.</w:t>
      </w:r>
    </w:p>
    <w:p w:rsidR="00997B75" w:rsidRDefault="003B3610" w:rsidP="00B22793">
      <w:pPr>
        <w:jc w:val="both"/>
        <w:rPr>
          <w:rtl/>
        </w:rPr>
      </w:pPr>
      <w:r>
        <w:rPr>
          <w:rFonts w:hint="cs"/>
          <w:rtl/>
        </w:rPr>
        <w:t xml:space="preserve">"אמונה" </w:t>
      </w:r>
      <w:r w:rsidR="00F30300">
        <w:rPr>
          <w:rFonts w:hint="cs"/>
          <w:rtl/>
        </w:rPr>
        <w:t>מ</w:t>
      </w:r>
      <w:r>
        <w:rPr>
          <w:rFonts w:hint="cs"/>
          <w:rtl/>
        </w:rPr>
        <w:t xml:space="preserve">ברכת על הצעת החוק וסבורה כי </w:t>
      </w:r>
      <w:r w:rsidR="00F30300">
        <w:rPr>
          <w:rFonts w:hint="cs"/>
          <w:rtl/>
        </w:rPr>
        <w:t>חשיבותה</w:t>
      </w:r>
      <w:r w:rsidR="00780D8F">
        <w:rPr>
          <w:rFonts w:hint="cs"/>
          <w:rtl/>
        </w:rPr>
        <w:t xml:space="preserve"> נובעת </w:t>
      </w:r>
      <w:r w:rsidR="009332E9">
        <w:rPr>
          <w:rFonts w:hint="cs"/>
          <w:rtl/>
        </w:rPr>
        <w:t xml:space="preserve">לא רק </w:t>
      </w:r>
      <w:r w:rsidR="00780D8F">
        <w:rPr>
          <w:rFonts w:hint="cs"/>
          <w:rtl/>
        </w:rPr>
        <w:t>מזכותו של הקטין לש</w:t>
      </w:r>
      <w:r w:rsidR="009332E9">
        <w:rPr>
          <w:rFonts w:hint="cs"/>
          <w:rtl/>
        </w:rPr>
        <w:t>מירה על קשר עם שני חלקי משפחתו</w:t>
      </w:r>
      <w:r w:rsidR="006008B1">
        <w:rPr>
          <w:rFonts w:hint="cs"/>
          <w:rtl/>
        </w:rPr>
        <w:t>,</w:t>
      </w:r>
      <w:r w:rsidR="009332E9">
        <w:rPr>
          <w:rFonts w:hint="cs"/>
          <w:rtl/>
        </w:rPr>
        <w:t xml:space="preserve">  אלא גם </w:t>
      </w:r>
      <w:r w:rsidR="00780D8F">
        <w:rPr>
          <w:rFonts w:hint="cs"/>
          <w:rtl/>
        </w:rPr>
        <w:t>מזכותם של סבים וסבתות לשמירה על קשר עם נכדיהם.</w:t>
      </w:r>
      <w:r w:rsidR="009332E9">
        <w:rPr>
          <w:rFonts w:hint="cs"/>
          <w:rtl/>
        </w:rPr>
        <w:t xml:space="preserve"> </w:t>
      </w:r>
      <w:r w:rsidR="00A12969">
        <w:rPr>
          <w:rFonts w:hint="cs"/>
          <w:rtl/>
        </w:rPr>
        <w:t xml:space="preserve">   </w:t>
      </w:r>
    </w:p>
    <w:p w:rsidR="00FF2CED" w:rsidRDefault="00FE54B1" w:rsidP="00FF2CED">
      <w:pPr>
        <w:jc w:val="both"/>
        <w:rPr>
          <w:rFonts w:cs="Arial"/>
          <w:rtl/>
        </w:rPr>
      </w:pPr>
      <w:r>
        <w:rPr>
          <w:rFonts w:hint="cs"/>
          <w:rtl/>
        </w:rPr>
        <w:t>ק</w:t>
      </w:r>
      <w:r w:rsidR="00A12969">
        <w:rPr>
          <w:rFonts w:hint="cs"/>
          <w:rtl/>
        </w:rPr>
        <w:t>שר זה, שבין סבים וסבתות לנכדיהם</w:t>
      </w:r>
      <w:r w:rsidR="009332E9">
        <w:rPr>
          <w:rFonts w:hint="cs"/>
          <w:rtl/>
        </w:rPr>
        <w:t>,</w:t>
      </w:r>
      <w:r w:rsidR="00A12969">
        <w:rPr>
          <w:rFonts w:hint="cs"/>
          <w:rtl/>
        </w:rPr>
        <w:t xml:space="preserve"> מוצא את ביטויו הראשוני במקורותינו </w:t>
      </w:r>
      <w:r w:rsidR="00A12969" w:rsidRPr="00A12969">
        <w:rPr>
          <w:rFonts w:cs="Arial" w:hint="cs"/>
          <w:rtl/>
        </w:rPr>
        <w:t>המקראיים</w:t>
      </w:r>
      <w:r w:rsidR="00A12969" w:rsidRPr="00A12969">
        <w:rPr>
          <w:rFonts w:cs="Arial"/>
          <w:rtl/>
        </w:rPr>
        <w:t xml:space="preserve"> </w:t>
      </w:r>
      <w:r w:rsidR="00A12969" w:rsidRPr="00A12969">
        <w:rPr>
          <w:rFonts w:cs="Arial" w:hint="cs"/>
          <w:rtl/>
        </w:rPr>
        <w:t>והתלמודיים</w:t>
      </w:r>
      <w:r w:rsidR="00997B75">
        <w:rPr>
          <w:rFonts w:cs="Arial" w:hint="cs"/>
          <w:rtl/>
        </w:rPr>
        <w:t>, כדוגמת הכלל המובא במסכת יבמות</w:t>
      </w:r>
      <w:r w:rsidR="006008B1">
        <w:rPr>
          <w:rFonts w:cs="Arial" w:hint="cs"/>
          <w:rtl/>
        </w:rPr>
        <w:t>,</w:t>
      </w:r>
      <w:r w:rsidR="00997B75">
        <w:rPr>
          <w:rFonts w:cs="Arial" w:hint="cs"/>
          <w:rtl/>
        </w:rPr>
        <w:t xml:space="preserve"> לפיו: "</w:t>
      </w:r>
      <w:r w:rsidR="00997B75" w:rsidRPr="00036280">
        <w:rPr>
          <w:rFonts w:cs="Arial" w:hint="cs"/>
          <w:rtl/>
        </w:rPr>
        <w:t>בני בנים- הרי הם כבנים</w:t>
      </w:r>
      <w:r w:rsidR="00997B75">
        <w:rPr>
          <w:rFonts w:cs="Arial" w:hint="cs"/>
          <w:rtl/>
        </w:rPr>
        <w:t>"</w:t>
      </w:r>
      <w:r w:rsidR="00997B75">
        <w:rPr>
          <w:rStyle w:val="a9"/>
          <w:rFonts w:cs="Arial"/>
          <w:rtl/>
        </w:rPr>
        <w:footnoteReference w:id="1"/>
      </w:r>
      <w:r w:rsidR="00997B75">
        <w:rPr>
          <w:rFonts w:cs="Arial" w:hint="cs"/>
          <w:rtl/>
        </w:rPr>
        <w:t xml:space="preserve"> </w:t>
      </w:r>
      <w:r w:rsidR="006008B1">
        <w:rPr>
          <w:rFonts w:cs="Arial" w:hint="cs"/>
          <w:rtl/>
        </w:rPr>
        <w:t xml:space="preserve">, </w:t>
      </w:r>
      <w:r w:rsidR="00997B75">
        <w:rPr>
          <w:rFonts w:cs="Arial" w:hint="cs"/>
          <w:rtl/>
        </w:rPr>
        <w:t xml:space="preserve">כלומר </w:t>
      </w:r>
      <w:r w:rsidR="00C0580C">
        <w:rPr>
          <w:rFonts w:cs="Arial" w:hint="cs"/>
          <w:rtl/>
        </w:rPr>
        <w:t>הקשר המיוחד שבין הסב לבין הנכד הינו בעל חשיבות עצומה. זאת ועוד, על פי המשפט העברי</w:t>
      </w:r>
      <w:r w:rsidR="006008B1">
        <w:rPr>
          <w:rFonts w:cs="Arial" w:hint="cs"/>
          <w:rtl/>
        </w:rPr>
        <w:t>,</w:t>
      </w:r>
      <w:r w:rsidR="00C0580C">
        <w:rPr>
          <w:rFonts w:cs="Arial" w:hint="cs"/>
          <w:rtl/>
        </w:rPr>
        <w:t xml:space="preserve"> אין המדובר רק בזכות הסב לקשר</w:t>
      </w:r>
      <w:r w:rsidR="006008B1">
        <w:rPr>
          <w:rFonts w:cs="Arial" w:hint="cs"/>
          <w:rtl/>
        </w:rPr>
        <w:t>,</w:t>
      </w:r>
      <w:r w:rsidR="00C0580C">
        <w:rPr>
          <w:rFonts w:cs="Arial" w:hint="cs"/>
          <w:rtl/>
        </w:rPr>
        <w:t xml:space="preserve"> אלא במצווה, כלומר חובה, המוטלת עליו ליטול חלק בחינוך הנכד, כדברי הרמב"ם</w:t>
      </w:r>
      <w:r w:rsidR="00C0580C">
        <w:rPr>
          <w:rStyle w:val="a9"/>
          <w:rFonts w:cs="Arial"/>
          <w:rtl/>
        </w:rPr>
        <w:footnoteReference w:id="2"/>
      </w:r>
      <w:r w:rsidR="00C0580C">
        <w:rPr>
          <w:rFonts w:cs="Arial" w:hint="cs"/>
          <w:rtl/>
        </w:rPr>
        <w:t xml:space="preserve">: "כשם שחייב אדם ללמד את בנו, כך הוא חייב ללמד את בן בנו, שנאמר: "והודעתם לבניך ולבני בניך" (דברים ד, ט)". </w:t>
      </w:r>
    </w:p>
    <w:p w:rsidR="00AB687C" w:rsidRDefault="00AB687C" w:rsidP="009E5B80">
      <w:pPr>
        <w:jc w:val="both"/>
        <w:rPr>
          <w:rFonts w:cs="Arial"/>
          <w:rtl/>
        </w:rPr>
      </w:pPr>
    </w:p>
    <w:p w:rsidR="00FA0F40" w:rsidRDefault="00FA0F40" w:rsidP="009E5B80">
      <w:pPr>
        <w:jc w:val="both"/>
        <w:rPr>
          <w:rFonts w:cs="Arial"/>
          <w:rtl/>
        </w:rPr>
      </w:pPr>
    </w:p>
    <w:p w:rsidR="00D87DB6" w:rsidRDefault="00A2639C" w:rsidP="009E5B80">
      <w:pPr>
        <w:jc w:val="both"/>
        <w:rPr>
          <w:rtl/>
        </w:rPr>
      </w:pPr>
      <w:r>
        <w:rPr>
          <w:rFonts w:cs="Arial" w:hint="cs"/>
          <w:rtl/>
        </w:rPr>
        <w:t xml:space="preserve">ואולם, חיוב הדדי קיים </w:t>
      </w:r>
      <w:r w:rsidR="00FF2CED">
        <w:rPr>
          <w:rFonts w:cs="Arial" w:hint="cs"/>
          <w:rtl/>
        </w:rPr>
        <w:t xml:space="preserve">במשפט העברי </w:t>
      </w:r>
      <w:r>
        <w:rPr>
          <w:rFonts w:cs="Arial" w:hint="cs"/>
          <w:rtl/>
        </w:rPr>
        <w:t xml:space="preserve">אף </w:t>
      </w:r>
      <w:proofErr w:type="spellStart"/>
      <w:r>
        <w:rPr>
          <w:rFonts w:cs="Arial" w:hint="cs"/>
          <w:rtl/>
        </w:rPr>
        <w:t>מצידו</w:t>
      </w:r>
      <w:proofErr w:type="spellEnd"/>
      <w:r>
        <w:rPr>
          <w:rFonts w:cs="Arial" w:hint="cs"/>
          <w:rtl/>
        </w:rPr>
        <w:t xml:space="preserve"> של הנכד והוא החיוב המוטל עליו בשמירת כבודם של הסב והסבתא. </w:t>
      </w:r>
      <w:r w:rsidR="00FF2CED">
        <w:rPr>
          <w:rFonts w:cs="Arial" w:hint="cs"/>
          <w:rtl/>
        </w:rPr>
        <w:t>פרשנים רבים סבורים ש</w:t>
      </w:r>
      <w:r w:rsidR="00FF2CED" w:rsidRPr="00FF2CED">
        <w:rPr>
          <w:rFonts w:cs="Arial" w:hint="cs"/>
          <w:rtl/>
        </w:rPr>
        <w:t>חובה</w:t>
      </w:r>
      <w:r w:rsidR="00FF2CED" w:rsidRPr="00FF2CED">
        <w:rPr>
          <w:rFonts w:cs="Arial"/>
          <w:rtl/>
        </w:rPr>
        <w:t xml:space="preserve"> </w:t>
      </w:r>
      <w:r w:rsidR="00FF2CED" w:rsidRPr="00FF2CED">
        <w:rPr>
          <w:rFonts w:cs="Arial" w:hint="cs"/>
          <w:rtl/>
        </w:rPr>
        <w:t>זו</w:t>
      </w:r>
      <w:r w:rsidR="00FF2CED" w:rsidRPr="00FF2CED">
        <w:rPr>
          <w:rFonts w:cs="Arial"/>
          <w:rtl/>
        </w:rPr>
        <w:t xml:space="preserve"> </w:t>
      </w:r>
      <w:r w:rsidR="00FF2CED" w:rsidRPr="00FF2CED">
        <w:rPr>
          <w:rFonts w:cs="Arial" w:hint="cs"/>
          <w:rtl/>
        </w:rPr>
        <w:t>הינה</w:t>
      </w:r>
      <w:r w:rsidR="00FF2CED" w:rsidRPr="00FF2CED">
        <w:rPr>
          <w:rFonts w:cs="Arial"/>
          <w:rtl/>
        </w:rPr>
        <w:t xml:space="preserve"> </w:t>
      </w:r>
      <w:r w:rsidR="00FF2CED" w:rsidRPr="00FF2CED">
        <w:rPr>
          <w:rFonts w:cs="Arial" w:hint="cs"/>
          <w:rtl/>
        </w:rPr>
        <w:t>ענף</w:t>
      </w:r>
      <w:r w:rsidR="00FF2CED" w:rsidRPr="00FF2CED">
        <w:rPr>
          <w:rFonts w:cs="Arial"/>
          <w:rtl/>
        </w:rPr>
        <w:t xml:space="preserve"> </w:t>
      </w:r>
      <w:r w:rsidR="00FF2CED" w:rsidRPr="00FF2CED">
        <w:rPr>
          <w:rFonts w:cs="Arial" w:hint="cs"/>
          <w:rtl/>
        </w:rPr>
        <w:t>של</w:t>
      </w:r>
      <w:r w:rsidR="00FF2CED" w:rsidRPr="00FF2CED">
        <w:rPr>
          <w:rFonts w:cs="Arial"/>
          <w:rtl/>
        </w:rPr>
        <w:t xml:space="preserve"> </w:t>
      </w:r>
      <w:r w:rsidR="00FF2CED" w:rsidRPr="00FF2CED">
        <w:rPr>
          <w:rFonts w:cs="Arial" w:hint="cs"/>
          <w:rtl/>
        </w:rPr>
        <w:t>מצוות</w:t>
      </w:r>
      <w:r w:rsidR="00FF2CED" w:rsidRPr="00FF2CED">
        <w:rPr>
          <w:rFonts w:cs="Arial"/>
          <w:rtl/>
        </w:rPr>
        <w:t xml:space="preserve"> </w:t>
      </w:r>
      <w:r w:rsidR="00FF2CED" w:rsidRPr="00FF2CED">
        <w:rPr>
          <w:rFonts w:cs="Arial" w:hint="cs"/>
          <w:rtl/>
        </w:rPr>
        <w:t>כיבוד</w:t>
      </w:r>
      <w:r w:rsidR="00FF2CED" w:rsidRPr="00FF2CED">
        <w:rPr>
          <w:rFonts w:cs="Arial"/>
          <w:rtl/>
        </w:rPr>
        <w:t xml:space="preserve"> </w:t>
      </w:r>
      <w:r w:rsidR="00FF2CED" w:rsidRPr="00FF2CED">
        <w:rPr>
          <w:rFonts w:cs="Arial" w:hint="cs"/>
          <w:rtl/>
        </w:rPr>
        <w:t>אב</w:t>
      </w:r>
      <w:r w:rsidR="00FF2CED" w:rsidRPr="00FF2CED">
        <w:rPr>
          <w:rFonts w:cs="Arial"/>
          <w:rtl/>
        </w:rPr>
        <w:t xml:space="preserve"> </w:t>
      </w:r>
      <w:r w:rsidR="00FF2CED" w:rsidRPr="00FF2CED">
        <w:rPr>
          <w:rFonts w:cs="Arial" w:hint="cs"/>
          <w:rtl/>
        </w:rPr>
        <w:t>ואם</w:t>
      </w:r>
      <w:r w:rsidR="00FF2CED">
        <w:rPr>
          <w:rFonts w:cs="Arial" w:hint="cs"/>
          <w:rtl/>
        </w:rPr>
        <w:t>,</w:t>
      </w:r>
      <w:r w:rsidR="00FF2CED" w:rsidRPr="00FF2CED">
        <w:rPr>
          <w:rFonts w:cs="Arial"/>
          <w:rtl/>
        </w:rPr>
        <w:t xml:space="preserve"> </w:t>
      </w:r>
      <w:r w:rsidR="00FF2CED" w:rsidRPr="00FF2CED">
        <w:rPr>
          <w:rFonts w:cs="Arial" w:hint="cs"/>
          <w:rtl/>
        </w:rPr>
        <w:t>ולפיכך</w:t>
      </w:r>
      <w:r w:rsidR="00FF2CED" w:rsidRPr="00FF2CED">
        <w:rPr>
          <w:rFonts w:cs="Arial"/>
          <w:rtl/>
        </w:rPr>
        <w:t xml:space="preserve"> </w:t>
      </w:r>
      <w:r w:rsidR="00FF2CED" w:rsidRPr="00FF2CED">
        <w:rPr>
          <w:rFonts w:cs="Arial" w:hint="cs"/>
          <w:rtl/>
        </w:rPr>
        <w:t>חלק</w:t>
      </w:r>
      <w:r w:rsidR="00FF2CED" w:rsidRPr="00FF2CED">
        <w:rPr>
          <w:rFonts w:cs="Arial"/>
          <w:rtl/>
        </w:rPr>
        <w:t xml:space="preserve"> </w:t>
      </w:r>
      <w:r w:rsidR="00FF2CED" w:rsidRPr="00FF2CED">
        <w:rPr>
          <w:rFonts w:cs="Arial" w:hint="cs"/>
          <w:rtl/>
        </w:rPr>
        <w:t>ממנה</w:t>
      </w:r>
      <w:r w:rsidR="00FF2CED">
        <w:rPr>
          <w:rStyle w:val="a9"/>
          <w:rFonts w:cs="Arial"/>
          <w:rtl/>
        </w:rPr>
        <w:footnoteReference w:id="3"/>
      </w:r>
      <w:r w:rsidR="00FF2CED">
        <w:rPr>
          <w:rFonts w:cs="Arial" w:hint="cs"/>
          <w:rtl/>
        </w:rPr>
        <w:t xml:space="preserve">. </w:t>
      </w:r>
      <w:r w:rsidR="008841BF">
        <w:rPr>
          <w:rFonts w:hint="cs"/>
          <w:rtl/>
        </w:rPr>
        <w:t xml:space="preserve"> </w:t>
      </w:r>
      <w:r w:rsidR="009E5B80">
        <w:rPr>
          <w:rFonts w:hint="cs"/>
          <w:rtl/>
        </w:rPr>
        <w:t xml:space="preserve">על כן, </w:t>
      </w:r>
      <w:r w:rsidR="008841BF">
        <w:rPr>
          <w:rFonts w:hint="cs"/>
          <w:rtl/>
        </w:rPr>
        <w:t xml:space="preserve">החיבור הפנימי שבין סבים לנכדיהם מוביל לקורת רוח רבה לשני הצדדים, כמובא במדרש </w:t>
      </w:r>
      <w:proofErr w:type="spellStart"/>
      <w:r w:rsidR="008841BF">
        <w:rPr>
          <w:rFonts w:hint="cs"/>
          <w:rtl/>
        </w:rPr>
        <w:t>תנחומא</w:t>
      </w:r>
      <w:proofErr w:type="spellEnd"/>
      <w:r w:rsidR="009E5B80">
        <w:rPr>
          <w:rStyle w:val="a9"/>
          <w:rtl/>
        </w:rPr>
        <w:footnoteReference w:id="4"/>
      </w:r>
      <w:r w:rsidR="009E5B80">
        <w:rPr>
          <w:rFonts w:hint="cs"/>
          <w:rtl/>
        </w:rPr>
        <w:t>: "זהו שאמר הכתוב: "עטרת זקנים בני בנים,</w:t>
      </w:r>
      <w:r w:rsidR="00FA0F40">
        <w:rPr>
          <w:rFonts w:hint="cs"/>
          <w:rtl/>
        </w:rPr>
        <w:t xml:space="preserve"> ותפארת בנים </w:t>
      </w:r>
      <w:proofErr w:type="spellStart"/>
      <w:r w:rsidR="00FA0F40">
        <w:rPr>
          <w:rFonts w:hint="cs"/>
          <w:rtl/>
        </w:rPr>
        <w:t>אבותם</w:t>
      </w:r>
      <w:proofErr w:type="spellEnd"/>
      <w:r w:rsidR="00FA0F40">
        <w:rPr>
          <w:rFonts w:hint="cs"/>
          <w:rtl/>
        </w:rPr>
        <w:t xml:space="preserve">" (משלי </w:t>
      </w:r>
      <w:proofErr w:type="spellStart"/>
      <w:r w:rsidR="00FA0F40">
        <w:rPr>
          <w:rFonts w:hint="cs"/>
          <w:rtl/>
        </w:rPr>
        <w:t>יז,ו</w:t>
      </w:r>
      <w:proofErr w:type="spellEnd"/>
      <w:r w:rsidR="00FA0F40">
        <w:rPr>
          <w:rFonts w:hint="cs"/>
          <w:rtl/>
        </w:rPr>
        <w:t>)</w:t>
      </w:r>
      <w:r w:rsidR="009E5B80">
        <w:rPr>
          <w:rFonts w:hint="cs"/>
          <w:rtl/>
        </w:rPr>
        <w:t xml:space="preserve"> הצדיקים </w:t>
      </w:r>
      <w:proofErr w:type="spellStart"/>
      <w:r w:rsidR="009E5B80">
        <w:rPr>
          <w:rFonts w:hint="cs"/>
          <w:rtl/>
        </w:rPr>
        <w:t>מתעטרים</w:t>
      </w:r>
      <w:proofErr w:type="spellEnd"/>
      <w:r w:rsidR="009E5B80">
        <w:rPr>
          <w:rFonts w:hint="cs"/>
          <w:rtl/>
        </w:rPr>
        <w:t xml:space="preserve"> בבני בניהם, ובניהם </w:t>
      </w:r>
      <w:proofErr w:type="spellStart"/>
      <w:r w:rsidR="009E5B80">
        <w:rPr>
          <w:rFonts w:hint="cs"/>
          <w:rtl/>
        </w:rPr>
        <w:t>מתעטרים</w:t>
      </w:r>
      <w:proofErr w:type="spellEnd"/>
      <w:r w:rsidR="009E5B80">
        <w:rPr>
          <w:rFonts w:hint="cs"/>
          <w:rtl/>
        </w:rPr>
        <w:t xml:space="preserve"> באבותם". עולה, </w:t>
      </w:r>
      <w:proofErr w:type="spellStart"/>
      <w:r w:rsidR="009E5B80">
        <w:rPr>
          <w:rFonts w:hint="cs"/>
          <w:rtl/>
        </w:rPr>
        <w:t>איפוא</w:t>
      </w:r>
      <w:proofErr w:type="spellEnd"/>
      <w:r w:rsidR="009E5B80">
        <w:rPr>
          <w:rFonts w:hint="cs"/>
          <w:rtl/>
        </w:rPr>
        <w:t>, כי מנקודת מבטו של המשפט העברי, מערכת היחסים שבין הסבא והסבתא לנכדיהם הינה משמעותית לאין שיעור.</w:t>
      </w:r>
    </w:p>
    <w:p w:rsidR="003C0B1B" w:rsidRDefault="003C0B1B" w:rsidP="00F30300">
      <w:pPr>
        <w:jc w:val="both"/>
        <w:rPr>
          <w:rtl/>
        </w:rPr>
      </w:pPr>
      <w:r>
        <w:rPr>
          <w:rFonts w:hint="cs"/>
          <w:rtl/>
        </w:rPr>
        <w:t xml:space="preserve">כמו כן, מחקרים </w:t>
      </w:r>
      <w:r w:rsidR="00DD4932">
        <w:rPr>
          <w:rFonts w:hint="cs"/>
          <w:rtl/>
        </w:rPr>
        <w:t xml:space="preserve">שונים העוסקים ביחסי הסבים והנכדים מעלים על נס את חשיבות הקשר המשפחתי ביניהם. המחקרים, </w:t>
      </w:r>
      <w:r>
        <w:rPr>
          <w:rFonts w:hint="cs"/>
          <w:rtl/>
        </w:rPr>
        <w:t>אשר בדקו את השפעת מערכת היחסים בין סבים לנכדים</w:t>
      </w:r>
      <w:r w:rsidR="006008B1">
        <w:rPr>
          <w:rFonts w:hint="cs"/>
          <w:rtl/>
        </w:rPr>
        <w:t>,</w:t>
      </w:r>
      <w:r>
        <w:rPr>
          <w:rFonts w:hint="cs"/>
          <w:rtl/>
        </w:rPr>
        <w:t xml:space="preserve"> מצאו שמ</w:t>
      </w:r>
      <w:r w:rsidR="00F30300">
        <w:rPr>
          <w:rFonts w:hint="cs"/>
          <w:rtl/>
        </w:rPr>
        <w:t>ע</w:t>
      </w:r>
      <w:r>
        <w:rPr>
          <w:rFonts w:hint="cs"/>
          <w:rtl/>
        </w:rPr>
        <w:t>רכת יחסים טובה וחמה בין סבים לנכדיהם תורמת להתפתחות אישיותו של הילד, מקנה לילד ביטחון ומהווה גשר תרבותי</w:t>
      </w:r>
      <w:r w:rsidR="00F30300">
        <w:rPr>
          <w:rFonts w:hint="cs"/>
          <w:rtl/>
        </w:rPr>
        <w:t xml:space="preserve"> ובין-דורי</w:t>
      </w:r>
      <w:r>
        <w:rPr>
          <w:rFonts w:hint="cs"/>
          <w:rtl/>
        </w:rPr>
        <w:t>.</w:t>
      </w:r>
    </w:p>
    <w:p w:rsidR="008D48B5" w:rsidRDefault="00D87DB6" w:rsidP="009332E9">
      <w:pPr>
        <w:jc w:val="both"/>
        <w:rPr>
          <w:rtl/>
        </w:rPr>
      </w:pPr>
      <w:r>
        <w:rPr>
          <w:rFonts w:hint="cs"/>
          <w:rtl/>
        </w:rPr>
        <w:t xml:space="preserve">יחד עם זאת, </w:t>
      </w:r>
      <w:r w:rsidR="009332E9">
        <w:rPr>
          <w:rFonts w:hint="cs"/>
          <w:rtl/>
        </w:rPr>
        <w:t xml:space="preserve">מבורך ככל שיהיה, </w:t>
      </w:r>
      <w:r w:rsidR="006008B1">
        <w:rPr>
          <w:rFonts w:hint="cs"/>
          <w:rtl/>
        </w:rPr>
        <w:t xml:space="preserve">עמדת "אמונה" היא כי </w:t>
      </w:r>
      <w:r>
        <w:rPr>
          <w:rFonts w:hint="cs"/>
          <w:rtl/>
        </w:rPr>
        <w:t>ראוי ש</w:t>
      </w:r>
      <w:r w:rsidR="009332E9">
        <w:rPr>
          <w:rFonts w:hint="cs"/>
          <w:rtl/>
        </w:rPr>
        <w:t xml:space="preserve">התהליך </w:t>
      </w:r>
      <w:r w:rsidR="006008B1">
        <w:rPr>
          <w:rFonts w:hint="cs"/>
          <w:rtl/>
        </w:rPr>
        <w:t xml:space="preserve">אותו </w:t>
      </w:r>
      <w:r w:rsidR="001F77DA">
        <w:rPr>
          <w:rFonts w:hint="cs"/>
          <w:rtl/>
        </w:rPr>
        <w:t>מקדמת הצעת החוק להסדרת הקשר</w:t>
      </w:r>
      <w:r w:rsidR="006008B1">
        <w:rPr>
          <w:rFonts w:hint="cs"/>
          <w:rtl/>
        </w:rPr>
        <w:t>,</w:t>
      </w:r>
      <w:r w:rsidR="001F77DA">
        <w:rPr>
          <w:rFonts w:hint="cs"/>
          <w:rtl/>
        </w:rPr>
        <w:t xml:space="preserve"> </w:t>
      </w:r>
      <w:r w:rsidR="009332E9">
        <w:rPr>
          <w:rFonts w:hint="cs"/>
          <w:rtl/>
        </w:rPr>
        <w:t>י</w:t>
      </w:r>
      <w:r>
        <w:rPr>
          <w:rFonts w:hint="cs"/>
          <w:rtl/>
        </w:rPr>
        <w:t>עשה בכפוף לעיקרון העל</w:t>
      </w:r>
      <w:r w:rsidR="006008B1">
        <w:rPr>
          <w:rFonts w:hint="cs"/>
          <w:rtl/>
        </w:rPr>
        <w:t>,</w:t>
      </w:r>
      <w:r>
        <w:rPr>
          <w:rFonts w:hint="cs"/>
          <w:rtl/>
        </w:rPr>
        <w:t xml:space="preserve"> שהוא עיקרון טובת הקטין עצמו, ומתוך מתן משקל הולם לזכות ההורה שחי עם הקטין.</w:t>
      </w:r>
      <w:r w:rsidR="009332E9">
        <w:rPr>
          <w:rFonts w:hint="cs"/>
          <w:rtl/>
        </w:rPr>
        <w:t xml:space="preserve"> </w:t>
      </w:r>
    </w:p>
    <w:p w:rsidR="009332E9" w:rsidRDefault="00F30300" w:rsidP="004D2F82">
      <w:pPr>
        <w:jc w:val="both"/>
        <w:rPr>
          <w:rtl/>
        </w:rPr>
      </w:pPr>
      <w:r>
        <w:rPr>
          <w:rFonts w:hint="cs"/>
          <w:rtl/>
        </w:rPr>
        <w:t>יתרה מכך</w:t>
      </w:r>
      <w:r w:rsidR="009332E9">
        <w:rPr>
          <w:rFonts w:hint="cs"/>
          <w:rtl/>
        </w:rPr>
        <w:t xml:space="preserve">, קיימת חשיבות מכרעת לאופן שבו </w:t>
      </w:r>
      <w:r w:rsidR="00D74559">
        <w:rPr>
          <w:rFonts w:hint="cs"/>
          <w:rtl/>
        </w:rPr>
        <w:t xml:space="preserve">יתבצע תהליך זה של </w:t>
      </w:r>
      <w:r w:rsidR="004D2F82">
        <w:rPr>
          <w:rFonts w:hint="cs"/>
          <w:rtl/>
        </w:rPr>
        <w:t xml:space="preserve">הסדרת </w:t>
      </w:r>
      <w:r>
        <w:rPr>
          <w:rFonts w:hint="cs"/>
          <w:rtl/>
        </w:rPr>
        <w:t>ה</w:t>
      </w:r>
      <w:r w:rsidR="00D74559">
        <w:rPr>
          <w:rFonts w:hint="cs"/>
          <w:rtl/>
        </w:rPr>
        <w:t xml:space="preserve">קשר. יש לבצעו במשנה זהירות על מנת שלא </w:t>
      </w:r>
      <w:r w:rsidR="00B83C08">
        <w:rPr>
          <w:rFonts w:hint="cs"/>
          <w:rtl/>
        </w:rPr>
        <w:t xml:space="preserve">לפגוע במרקם המשפחתי העדין, </w:t>
      </w:r>
      <w:r w:rsidR="006D3456">
        <w:rPr>
          <w:rFonts w:hint="cs"/>
          <w:rtl/>
        </w:rPr>
        <w:t xml:space="preserve">לא </w:t>
      </w:r>
      <w:r w:rsidR="003C0B1B">
        <w:rPr>
          <w:rFonts w:hint="cs"/>
          <w:rtl/>
        </w:rPr>
        <w:t xml:space="preserve">להסלים את הסכסוכים המשפחתיים </w:t>
      </w:r>
      <w:r w:rsidR="00B83C08">
        <w:rPr>
          <w:rFonts w:hint="cs"/>
          <w:rtl/>
        </w:rPr>
        <w:t>הקיימים</w:t>
      </w:r>
      <w:r w:rsidR="008F7131">
        <w:rPr>
          <w:rFonts w:hint="cs"/>
          <w:rtl/>
        </w:rPr>
        <w:t>,</w:t>
      </w:r>
      <w:r w:rsidR="00B83C08">
        <w:rPr>
          <w:rFonts w:hint="cs"/>
          <w:rtl/>
        </w:rPr>
        <w:t xml:space="preserve"> או ליצור חלילה סכסוכים חדשים, </w:t>
      </w:r>
      <w:r w:rsidR="00D74559">
        <w:rPr>
          <w:rFonts w:hint="cs"/>
          <w:rtl/>
        </w:rPr>
        <w:t xml:space="preserve">ואז יצא שכרו של התהליך- בהפסדו. </w:t>
      </w:r>
      <w:r w:rsidR="006D3456">
        <w:rPr>
          <w:rFonts w:hint="cs"/>
          <w:rtl/>
        </w:rPr>
        <w:t xml:space="preserve">                     </w:t>
      </w:r>
      <w:r w:rsidR="00D74559">
        <w:rPr>
          <w:rFonts w:hint="cs"/>
          <w:rtl/>
        </w:rPr>
        <w:t>לפיכך, לשיטתנו, ה</w:t>
      </w:r>
      <w:r w:rsidR="007161C4">
        <w:rPr>
          <w:rFonts w:hint="cs"/>
          <w:rtl/>
        </w:rPr>
        <w:t>פני</w:t>
      </w:r>
      <w:r w:rsidR="008F7131">
        <w:rPr>
          <w:rFonts w:hint="cs"/>
          <w:rtl/>
        </w:rPr>
        <w:t>י</w:t>
      </w:r>
      <w:r w:rsidR="007161C4">
        <w:rPr>
          <w:rFonts w:hint="cs"/>
          <w:rtl/>
        </w:rPr>
        <w:t>ה</w:t>
      </w:r>
      <w:r w:rsidR="00D74559">
        <w:rPr>
          <w:rFonts w:hint="cs"/>
          <w:rtl/>
        </w:rPr>
        <w:t xml:space="preserve"> </w:t>
      </w:r>
      <w:r w:rsidR="008F7131">
        <w:rPr>
          <w:rFonts w:hint="cs"/>
          <w:rtl/>
        </w:rPr>
        <w:t xml:space="preserve">של הסבים והסבתות להסדרת הקשר </w:t>
      </w:r>
      <w:r w:rsidR="00D74559">
        <w:rPr>
          <w:rFonts w:hint="cs"/>
          <w:rtl/>
        </w:rPr>
        <w:t>צריכה להיות מוגשת במסגרת של בקשה ליישוב סכסוך</w:t>
      </w:r>
      <w:r w:rsidR="008F7131">
        <w:rPr>
          <w:rFonts w:hint="cs"/>
          <w:rtl/>
        </w:rPr>
        <w:t>,</w:t>
      </w:r>
      <w:r w:rsidR="00D74559">
        <w:rPr>
          <w:rFonts w:hint="cs"/>
          <w:rtl/>
        </w:rPr>
        <w:t xml:space="preserve"> אשר תופנה ליחידת הסיוע שליד בית המשפט ולא בהליך של תוב</w:t>
      </w:r>
      <w:r w:rsidR="00997CD3">
        <w:rPr>
          <w:rFonts w:hint="cs"/>
          <w:rtl/>
        </w:rPr>
        <w:t>ענה רגילה. בדרך זו, בה מעורבים גורמים סוציאליים וטיפוליים, ניתן יהיה לרכך את הפנייה ולדאוג לכך שתהליך הסדרת הקשר יעשה באופ</w:t>
      </w:r>
      <w:r w:rsidR="008F7131">
        <w:rPr>
          <w:rFonts w:hint="cs"/>
          <w:rtl/>
        </w:rPr>
        <w:t>ן המקצועי ביותר ומבלי שיגרמו בעט</w:t>
      </w:r>
      <w:r w:rsidR="00997CD3">
        <w:rPr>
          <w:rFonts w:hint="cs"/>
          <w:rtl/>
        </w:rPr>
        <w:t xml:space="preserve">יו, בסופו של יום, סכסוכים נוספים. </w:t>
      </w:r>
    </w:p>
    <w:p w:rsidR="006F2611" w:rsidRDefault="004A689E" w:rsidP="004A689E">
      <w:pPr>
        <w:jc w:val="both"/>
        <w:rPr>
          <w:rtl/>
        </w:rPr>
      </w:pPr>
      <w:r>
        <w:rPr>
          <w:rFonts w:hint="cs"/>
          <w:rtl/>
        </w:rPr>
        <w:t>נסכם בקביעת</w:t>
      </w:r>
      <w:r w:rsidR="001F77DA">
        <w:rPr>
          <w:rFonts w:hint="cs"/>
          <w:rtl/>
        </w:rPr>
        <w:t xml:space="preserve"> </w:t>
      </w:r>
      <w:r>
        <w:rPr>
          <w:rFonts w:hint="cs"/>
          <w:rtl/>
        </w:rPr>
        <w:t xml:space="preserve">כב' </w:t>
      </w:r>
      <w:r w:rsidR="001F77DA">
        <w:rPr>
          <w:rFonts w:hint="cs"/>
          <w:rtl/>
        </w:rPr>
        <w:t xml:space="preserve">השופטת </w:t>
      </w:r>
      <w:r>
        <w:rPr>
          <w:rFonts w:hint="cs"/>
          <w:rtl/>
        </w:rPr>
        <w:t>ת' בזק-רפפורט, בע"מ 500/09 (י-ם) פלונית נ' אלמוני:</w:t>
      </w:r>
    </w:p>
    <w:p w:rsidR="006F2611" w:rsidRPr="004A689E" w:rsidRDefault="006F2611" w:rsidP="003C0B1B">
      <w:pPr>
        <w:jc w:val="both"/>
        <w:rPr>
          <w:rtl/>
        </w:rPr>
      </w:pPr>
      <w:r w:rsidRPr="004A689E">
        <w:rPr>
          <w:rFonts w:hint="cs"/>
          <w:rtl/>
        </w:rPr>
        <w:t>"</w:t>
      </w:r>
      <w:r w:rsidR="004A689E" w:rsidRPr="004A689E">
        <w:rPr>
          <w:rFonts w:ascii="Arial" w:hAnsi="Arial" w:cs="Arial"/>
          <w:color w:val="000000"/>
          <w:rtl/>
        </w:rPr>
        <w:t>קשר בין הורי-הורים לנכדים חשוב ויקר הוא לשני הצדדים, ואף לצלע השלישית במשולש זה</w:t>
      </w:r>
      <w:r w:rsidR="004A689E" w:rsidRPr="004A689E">
        <w:rPr>
          <w:rFonts w:ascii="Arial" w:hAnsi="Arial" w:cs="Arial"/>
          <w:color w:val="000000"/>
        </w:rPr>
        <w:t xml:space="preserve"> - </w:t>
      </w:r>
      <w:r w:rsidR="004A689E" w:rsidRPr="004A689E">
        <w:rPr>
          <w:rFonts w:ascii="Arial" w:hAnsi="Arial" w:cs="Arial"/>
          <w:color w:val="000000"/>
          <w:rtl/>
        </w:rPr>
        <w:t>ההורים. כשקשר כזה מתקיים מעניק הוא רבות לכל צדדיו</w:t>
      </w:r>
      <w:r w:rsidR="004A689E" w:rsidRPr="004A689E">
        <w:rPr>
          <w:rFonts w:ascii="Arial" w:hAnsi="Arial" w:cs="Arial"/>
          <w:color w:val="000000"/>
        </w:rPr>
        <w:t xml:space="preserve">... </w:t>
      </w:r>
      <w:r w:rsidRPr="004A689E">
        <w:rPr>
          <w:rFonts w:hint="cs"/>
          <w:rtl/>
        </w:rPr>
        <w:t>כאשר מונעים ההורים מן הילדים קשר עם מי מהורי ההורים ו</w:t>
      </w:r>
      <w:r w:rsidR="004A689E" w:rsidRPr="004A689E">
        <w:rPr>
          <w:rFonts w:hint="cs"/>
          <w:rtl/>
        </w:rPr>
        <w:t>"</w:t>
      </w:r>
      <w:r w:rsidRPr="004A689E">
        <w:rPr>
          <w:rFonts w:hint="cs"/>
          <w:rtl/>
        </w:rPr>
        <w:t>מעלימים</w:t>
      </w:r>
      <w:r w:rsidR="004A689E" w:rsidRPr="004A689E">
        <w:rPr>
          <w:rFonts w:hint="cs"/>
          <w:rtl/>
        </w:rPr>
        <w:t>"</w:t>
      </w:r>
      <w:r w:rsidRPr="004A689E">
        <w:rPr>
          <w:rFonts w:hint="cs"/>
          <w:rtl/>
        </w:rPr>
        <w:t xml:space="preserve"> אותם, המחיר עשוי להיות כבד. בין היתר מדובר בנזק להשקפתם של ילדים בדבר החובה לכיבוד הורים, שהרי ההורים הם גם ילדיהם של הורי ההורים, והבחירה שלא לאפשר לנכדים כל מגע עם הורי ההורים, טומנת בחובה מסר בעייתי בכל הנוגע לערך כיבוד הורים".</w:t>
      </w:r>
    </w:p>
    <w:p w:rsidR="001F77DA" w:rsidRPr="001F77DA" w:rsidRDefault="001F77DA" w:rsidP="001F77DA">
      <w:pPr>
        <w:jc w:val="both"/>
        <w:rPr>
          <w:b/>
          <w:bCs/>
        </w:rPr>
      </w:pPr>
      <w:r w:rsidRPr="001F77DA">
        <w:rPr>
          <w:rFonts w:hint="cs"/>
          <w:b/>
          <w:bCs/>
          <w:rtl/>
        </w:rPr>
        <w:t xml:space="preserve">לאור כל האמור, אמונה מברכת על הצעת החוק המבקשת להסדיר את הקשר בין קטין ובין הורי הוריו (באמצעות בקשת יישוב סכסוך לקביעת הסדרי ראיה), </w:t>
      </w:r>
      <w:r w:rsidRPr="001F77DA">
        <w:rPr>
          <w:rFonts w:cs="Arial" w:hint="cs"/>
          <w:b/>
          <w:bCs/>
          <w:rtl/>
        </w:rPr>
        <w:t>וזאת</w:t>
      </w:r>
      <w:r w:rsidRPr="001F77DA">
        <w:rPr>
          <w:rFonts w:cs="Arial"/>
          <w:b/>
          <w:bCs/>
          <w:rtl/>
        </w:rPr>
        <w:t xml:space="preserve"> </w:t>
      </w:r>
      <w:r w:rsidRPr="001F77DA">
        <w:rPr>
          <w:rFonts w:cs="Arial" w:hint="cs"/>
          <w:b/>
          <w:bCs/>
          <w:rtl/>
        </w:rPr>
        <w:t>לאחר</w:t>
      </w:r>
      <w:r w:rsidRPr="001F77DA">
        <w:rPr>
          <w:rFonts w:cs="Arial"/>
          <w:b/>
          <w:bCs/>
          <w:rtl/>
        </w:rPr>
        <w:t xml:space="preserve"> </w:t>
      </w:r>
      <w:r w:rsidRPr="001F77DA">
        <w:rPr>
          <w:rFonts w:cs="Arial" w:hint="cs"/>
          <w:b/>
          <w:bCs/>
          <w:rtl/>
        </w:rPr>
        <w:t>שבית</w:t>
      </w:r>
      <w:r w:rsidRPr="001F77DA">
        <w:rPr>
          <w:rFonts w:cs="Arial"/>
          <w:b/>
          <w:bCs/>
          <w:rtl/>
        </w:rPr>
        <w:t xml:space="preserve"> </w:t>
      </w:r>
      <w:r w:rsidRPr="001F77DA">
        <w:rPr>
          <w:rFonts w:cs="Arial" w:hint="cs"/>
          <w:b/>
          <w:bCs/>
          <w:rtl/>
        </w:rPr>
        <w:t>המשפט</w:t>
      </w:r>
      <w:r w:rsidRPr="001F77DA">
        <w:rPr>
          <w:rFonts w:cs="Arial"/>
          <w:b/>
          <w:bCs/>
          <w:rtl/>
        </w:rPr>
        <w:t xml:space="preserve"> </w:t>
      </w:r>
      <w:r w:rsidRPr="001F77DA">
        <w:rPr>
          <w:rFonts w:cs="Arial" w:hint="cs"/>
          <w:b/>
          <w:bCs/>
          <w:rtl/>
        </w:rPr>
        <w:t>ישקול</w:t>
      </w:r>
      <w:r w:rsidRPr="001F77DA">
        <w:rPr>
          <w:rFonts w:cs="Arial"/>
          <w:b/>
          <w:bCs/>
          <w:rtl/>
        </w:rPr>
        <w:t xml:space="preserve"> </w:t>
      </w:r>
      <w:r w:rsidRPr="001F77DA">
        <w:rPr>
          <w:rFonts w:cs="Arial" w:hint="cs"/>
          <w:b/>
          <w:bCs/>
          <w:rtl/>
        </w:rPr>
        <w:t>את</w:t>
      </w:r>
      <w:r w:rsidRPr="001F77DA">
        <w:rPr>
          <w:rFonts w:cs="Arial"/>
          <w:b/>
          <w:bCs/>
          <w:rtl/>
        </w:rPr>
        <w:t xml:space="preserve"> </w:t>
      </w:r>
      <w:r w:rsidRPr="001F77DA">
        <w:rPr>
          <w:rFonts w:cs="Arial" w:hint="cs"/>
          <w:b/>
          <w:bCs/>
          <w:rtl/>
        </w:rPr>
        <w:t>הסדרת</w:t>
      </w:r>
      <w:r w:rsidRPr="001F77DA">
        <w:rPr>
          <w:rFonts w:cs="Arial"/>
          <w:b/>
          <w:bCs/>
          <w:rtl/>
        </w:rPr>
        <w:t xml:space="preserve"> </w:t>
      </w:r>
      <w:r w:rsidRPr="001F77DA">
        <w:rPr>
          <w:rFonts w:cs="Arial" w:hint="cs"/>
          <w:b/>
          <w:bCs/>
          <w:rtl/>
        </w:rPr>
        <w:t>הקשר</w:t>
      </w:r>
      <w:r w:rsidRPr="001F77DA">
        <w:rPr>
          <w:rFonts w:cs="Arial"/>
          <w:b/>
          <w:bCs/>
          <w:rtl/>
        </w:rPr>
        <w:t xml:space="preserve"> </w:t>
      </w:r>
      <w:r w:rsidRPr="001F77DA">
        <w:rPr>
          <w:rFonts w:cs="Arial" w:hint="cs"/>
          <w:b/>
          <w:bCs/>
          <w:rtl/>
        </w:rPr>
        <w:t>מתוך</w:t>
      </w:r>
      <w:r w:rsidRPr="001F77DA">
        <w:rPr>
          <w:rFonts w:cs="Arial"/>
          <w:b/>
          <w:bCs/>
          <w:rtl/>
        </w:rPr>
        <w:t xml:space="preserve"> </w:t>
      </w:r>
      <w:proofErr w:type="spellStart"/>
      <w:r w:rsidRPr="001F77DA">
        <w:rPr>
          <w:rFonts w:cs="Arial" w:hint="cs"/>
          <w:b/>
          <w:bCs/>
          <w:rtl/>
        </w:rPr>
        <w:t>העקרון</w:t>
      </w:r>
      <w:proofErr w:type="spellEnd"/>
      <w:r w:rsidRPr="001F77DA">
        <w:rPr>
          <w:rFonts w:cs="Arial"/>
          <w:b/>
          <w:bCs/>
          <w:rtl/>
        </w:rPr>
        <w:t xml:space="preserve"> </w:t>
      </w:r>
      <w:r w:rsidRPr="001F77DA">
        <w:rPr>
          <w:rFonts w:cs="Arial" w:hint="cs"/>
          <w:b/>
          <w:bCs/>
          <w:rtl/>
        </w:rPr>
        <w:t>המנחה</w:t>
      </w:r>
      <w:r w:rsidRPr="001F77DA">
        <w:rPr>
          <w:rFonts w:cs="Arial"/>
          <w:b/>
          <w:bCs/>
          <w:rtl/>
        </w:rPr>
        <w:t xml:space="preserve"> </w:t>
      </w:r>
      <w:r w:rsidRPr="001F77DA">
        <w:rPr>
          <w:rFonts w:cs="Arial" w:hint="cs"/>
          <w:b/>
          <w:bCs/>
          <w:rtl/>
        </w:rPr>
        <w:t>של</w:t>
      </w:r>
      <w:r w:rsidRPr="001F77DA">
        <w:rPr>
          <w:rFonts w:cs="Arial"/>
          <w:b/>
          <w:bCs/>
          <w:rtl/>
        </w:rPr>
        <w:t xml:space="preserve"> </w:t>
      </w:r>
      <w:r w:rsidRPr="001F77DA">
        <w:rPr>
          <w:rFonts w:cs="Arial" w:hint="cs"/>
          <w:b/>
          <w:bCs/>
          <w:rtl/>
        </w:rPr>
        <w:t>טובת</w:t>
      </w:r>
      <w:r w:rsidRPr="001F77DA">
        <w:rPr>
          <w:rFonts w:cs="Arial"/>
          <w:b/>
          <w:bCs/>
          <w:rtl/>
        </w:rPr>
        <w:t xml:space="preserve"> </w:t>
      </w:r>
      <w:r w:rsidRPr="001F77DA">
        <w:rPr>
          <w:rFonts w:cs="Arial" w:hint="cs"/>
          <w:b/>
          <w:bCs/>
          <w:rtl/>
        </w:rPr>
        <w:t>הילד</w:t>
      </w:r>
      <w:r w:rsidRPr="001F77DA">
        <w:rPr>
          <w:rFonts w:cs="Arial"/>
          <w:b/>
          <w:bCs/>
          <w:rtl/>
        </w:rPr>
        <w:t>.</w:t>
      </w:r>
    </w:p>
    <w:sectPr w:rsidR="001F77DA" w:rsidRPr="001F77DA" w:rsidSect="008838F4">
      <w:headerReference w:type="default" r:id="rId8"/>
      <w:footerReference w:type="default" r:id="rId9"/>
      <w:pgSz w:w="11906" w:h="16838"/>
      <w:pgMar w:top="2552"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CF" w:rsidRDefault="004843CF" w:rsidP="008838F4">
      <w:pPr>
        <w:spacing w:after="0" w:line="240" w:lineRule="auto"/>
      </w:pPr>
      <w:r>
        <w:separator/>
      </w:r>
    </w:p>
  </w:endnote>
  <w:endnote w:type="continuationSeparator" w:id="0">
    <w:p w:rsidR="004843CF" w:rsidRDefault="004843CF" w:rsidP="0088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cs/>
        <w:lang w:val="he-IL"/>
      </w:rPr>
      <w:id w:val="889619814"/>
      <w:docPartObj>
        <w:docPartGallery w:val="Page Numbers (Bottom of Page)"/>
        <w:docPartUnique/>
      </w:docPartObj>
    </w:sdtPr>
    <w:sdtEndPr>
      <w:rPr>
        <w:sz w:val="28"/>
        <w:szCs w:val="28"/>
        <w:cs w:val="0"/>
        <w:lang w:val="en-US"/>
      </w:rPr>
    </w:sdtEndPr>
    <w:sdtContent>
      <w:p w:rsidR="00A302B7" w:rsidRDefault="00A302B7">
        <w:pPr>
          <w:pStyle w:val="a5"/>
          <w:jc w:val="right"/>
          <w:rPr>
            <w:rFonts w:asciiTheme="majorHAnsi" w:eastAsiaTheme="majorEastAsia" w:hAnsiTheme="majorHAnsi" w:cstheme="majorBidi"/>
            <w:sz w:val="28"/>
            <w:szCs w:val="28"/>
            <w:cs/>
          </w:rPr>
        </w:pPr>
        <w:r w:rsidRPr="00A302B7">
          <w:rPr>
            <w:rFonts w:asciiTheme="majorHAnsi" w:eastAsiaTheme="majorEastAsia" w:hAnsiTheme="majorHAnsi" w:cstheme="majorBidi"/>
            <w:rtl/>
            <w:cs/>
            <w:lang w:val="he-IL"/>
          </w:rPr>
          <w:t xml:space="preserve">עמ' </w:t>
        </w:r>
        <w:r w:rsidRPr="00A302B7">
          <w:rPr>
            <w:rFonts w:eastAsiaTheme="minorEastAsia"/>
          </w:rPr>
          <w:fldChar w:fldCharType="begin"/>
        </w:r>
        <w:r w:rsidRPr="00A302B7">
          <w:rPr>
            <w:cs/>
          </w:rPr>
          <w:instrText>PAGE    \* MERGEFORMAT</w:instrText>
        </w:r>
        <w:r w:rsidRPr="00A302B7">
          <w:rPr>
            <w:rFonts w:eastAsiaTheme="minorEastAsia"/>
          </w:rPr>
          <w:fldChar w:fldCharType="separate"/>
        </w:r>
        <w:r w:rsidR="008F0AC2" w:rsidRPr="008F0AC2">
          <w:rPr>
            <w:rFonts w:asciiTheme="majorHAnsi" w:eastAsiaTheme="majorEastAsia" w:hAnsiTheme="majorHAnsi" w:cstheme="majorBidi"/>
            <w:noProof/>
            <w:rtl/>
            <w:lang w:val="he-IL"/>
          </w:rPr>
          <w:t>2</w:t>
        </w:r>
        <w:r w:rsidRPr="00A302B7">
          <w:rPr>
            <w:rFonts w:asciiTheme="majorHAnsi" w:eastAsiaTheme="majorEastAsia" w:hAnsiTheme="majorHAnsi" w:cstheme="majorBidi"/>
          </w:rPr>
          <w:fldChar w:fldCharType="end"/>
        </w:r>
      </w:p>
    </w:sdtContent>
  </w:sdt>
  <w:p w:rsidR="00A302B7" w:rsidRDefault="00A302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CF" w:rsidRDefault="004843CF" w:rsidP="008838F4">
      <w:pPr>
        <w:spacing w:after="0" w:line="240" w:lineRule="auto"/>
      </w:pPr>
      <w:r>
        <w:separator/>
      </w:r>
    </w:p>
  </w:footnote>
  <w:footnote w:type="continuationSeparator" w:id="0">
    <w:p w:rsidR="004843CF" w:rsidRDefault="004843CF" w:rsidP="008838F4">
      <w:pPr>
        <w:spacing w:after="0" w:line="240" w:lineRule="auto"/>
      </w:pPr>
      <w:r>
        <w:continuationSeparator/>
      </w:r>
    </w:p>
  </w:footnote>
  <w:footnote w:id="1">
    <w:p w:rsidR="00FA0F40" w:rsidRDefault="004843CF" w:rsidP="004843CF">
      <w:pPr>
        <w:pStyle w:val="a7"/>
        <w:rPr>
          <w:sz w:val="16"/>
          <w:szCs w:val="16"/>
          <w:rtl/>
        </w:rPr>
      </w:pPr>
      <w:r>
        <w:rPr>
          <w:rStyle w:val="a9"/>
        </w:rPr>
        <w:footnoteRef/>
      </w:r>
      <w:r>
        <w:rPr>
          <w:rtl/>
        </w:rPr>
        <w:t xml:space="preserve"> </w:t>
      </w:r>
      <w:r w:rsidRPr="00997B75">
        <w:rPr>
          <w:rFonts w:hint="cs"/>
          <w:sz w:val="16"/>
          <w:szCs w:val="16"/>
          <w:rtl/>
        </w:rPr>
        <w:t>מסכת יבמות,</w:t>
      </w:r>
      <w:r>
        <w:rPr>
          <w:rFonts w:hint="cs"/>
          <w:sz w:val="16"/>
          <w:szCs w:val="16"/>
          <w:rtl/>
        </w:rPr>
        <w:t xml:space="preserve"> דף </w:t>
      </w:r>
      <w:r w:rsidRPr="00997B75">
        <w:rPr>
          <w:rFonts w:hint="cs"/>
          <w:sz w:val="16"/>
          <w:szCs w:val="16"/>
          <w:rtl/>
        </w:rPr>
        <w:t>סב</w:t>
      </w:r>
      <w:r>
        <w:rPr>
          <w:rFonts w:hint="cs"/>
          <w:sz w:val="16"/>
          <w:szCs w:val="16"/>
          <w:rtl/>
        </w:rPr>
        <w:t xml:space="preserve"> </w:t>
      </w:r>
      <w:r w:rsidRPr="00997B75">
        <w:rPr>
          <w:rFonts w:hint="cs"/>
          <w:sz w:val="16"/>
          <w:szCs w:val="16"/>
          <w:rtl/>
        </w:rPr>
        <w:t>,ע"ב</w:t>
      </w:r>
      <w:r w:rsidRPr="00F232E5">
        <w:rPr>
          <w:rFonts w:hint="cs"/>
          <w:sz w:val="16"/>
          <w:szCs w:val="16"/>
          <w:rtl/>
        </w:rPr>
        <w:t xml:space="preserve"> </w:t>
      </w:r>
      <w:r>
        <w:rPr>
          <w:rFonts w:hint="cs"/>
          <w:sz w:val="16"/>
          <w:szCs w:val="16"/>
          <w:rtl/>
        </w:rPr>
        <w:t>.</w:t>
      </w:r>
      <w:r w:rsidRPr="004843CF">
        <w:rPr>
          <w:rFonts w:hint="cs"/>
          <w:rtl/>
        </w:rPr>
        <w:t xml:space="preserve"> </w:t>
      </w:r>
      <w:r w:rsidRPr="004843CF">
        <w:rPr>
          <w:rFonts w:hint="cs"/>
          <w:sz w:val="16"/>
          <w:szCs w:val="16"/>
          <w:rtl/>
        </w:rPr>
        <w:t xml:space="preserve">המקור להלכה זו יסודו בברכת יעקב אבינו לנכדיו, אפרים ומנשה, כפי שמופיע בפרקי דרבי אליעזר, פרק </w:t>
      </w:r>
    </w:p>
    <w:p w:rsidR="004843CF" w:rsidRPr="00F232E5" w:rsidRDefault="004843CF" w:rsidP="004843CF">
      <w:pPr>
        <w:pStyle w:val="a7"/>
        <w:rPr>
          <w:b/>
          <w:bCs/>
        </w:rPr>
      </w:pPr>
      <w:r w:rsidRPr="004843CF">
        <w:rPr>
          <w:rFonts w:hint="cs"/>
          <w:sz w:val="16"/>
          <w:szCs w:val="16"/>
          <w:rtl/>
        </w:rPr>
        <w:t xml:space="preserve">לה: </w:t>
      </w:r>
      <w:r w:rsidRPr="00F232E5">
        <w:rPr>
          <w:rFonts w:hint="cs"/>
          <w:sz w:val="16"/>
          <w:szCs w:val="16"/>
          <w:rtl/>
        </w:rPr>
        <w:t>"</w:t>
      </w:r>
      <w:r w:rsidRPr="00F232E5">
        <w:rPr>
          <w:rFonts w:hint="cs"/>
          <w:b/>
          <w:bCs/>
          <w:sz w:val="16"/>
          <w:szCs w:val="16"/>
          <w:rtl/>
        </w:rPr>
        <w:t xml:space="preserve">בני בניו של אדם כבניו. מנין שהם כבניו? מיעקב. שנאמר: "אפרים ומנשה כראובן ושמעון יהיו לי" (בראשית, </w:t>
      </w:r>
      <w:proofErr w:type="spellStart"/>
      <w:r w:rsidRPr="00F232E5">
        <w:rPr>
          <w:rFonts w:hint="cs"/>
          <w:b/>
          <w:bCs/>
          <w:sz w:val="16"/>
          <w:szCs w:val="16"/>
          <w:rtl/>
        </w:rPr>
        <w:t>מח,ה</w:t>
      </w:r>
      <w:proofErr w:type="spellEnd"/>
      <w:r w:rsidRPr="00F232E5">
        <w:rPr>
          <w:rFonts w:hint="cs"/>
          <w:b/>
          <w:bCs/>
          <w:sz w:val="16"/>
          <w:szCs w:val="16"/>
          <w:rtl/>
        </w:rPr>
        <w:t>). וכי בניו היו? והלא בני בניו היו? אלא ללמדך שבני בניו של אדם כבניו".</w:t>
      </w:r>
    </w:p>
  </w:footnote>
  <w:footnote w:id="2">
    <w:p w:rsidR="004843CF" w:rsidRDefault="004843CF">
      <w:pPr>
        <w:pStyle w:val="a7"/>
      </w:pPr>
      <w:r>
        <w:rPr>
          <w:rStyle w:val="a9"/>
        </w:rPr>
        <w:footnoteRef/>
      </w:r>
      <w:r>
        <w:rPr>
          <w:rtl/>
        </w:rPr>
        <w:t xml:space="preserve"> </w:t>
      </w:r>
      <w:r w:rsidRPr="00C0580C">
        <w:rPr>
          <w:rFonts w:hint="cs"/>
          <w:sz w:val="16"/>
          <w:szCs w:val="16"/>
          <w:rtl/>
        </w:rPr>
        <w:t>רמב"</w:t>
      </w:r>
      <w:r>
        <w:rPr>
          <w:rFonts w:hint="cs"/>
          <w:sz w:val="16"/>
          <w:szCs w:val="16"/>
          <w:rtl/>
        </w:rPr>
        <w:t>ם</w:t>
      </w:r>
      <w:r w:rsidRPr="00C0580C">
        <w:rPr>
          <w:rFonts w:hint="cs"/>
          <w:sz w:val="16"/>
          <w:szCs w:val="16"/>
          <w:rtl/>
        </w:rPr>
        <w:t>, הלכות תלמוד תורה, פרק א, הלכה ב.</w:t>
      </w:r>
    </w:p>
  </w:footnote>
  <w:footnote w:id="3">
    <w:p w:rsidR="004843CF" w:rsidRDefault="004843CF" w:rsidP="008F7131">
      <w:pPr>
        <w:pStyle w:val="a7"/>
      </w:pPr>
      <w:r>
        <w:rPr>
          <w:rStyle w:val="a9"/>
        </w:rPr>
        <w:footnoteRef/>
      </w:r>
      <w:r>
        <w:rPr>
          <w:rtl/>
        </w:rPr>
        <w:t xml:space="preserve"> </w:t>
      </w:r>
      <w:r w:rsidRPr="008841BF">
        <w:rPr>
          <w:rFonts w:hint="cs"/>
          <w:sz w:val="16"/>
          <w:szCs w:val="16"/>
          <w:rtl/>
        </w:rPr>
        <w:t>נראה כי</w:t>
      </w:r>
      <w:r>
        <w:rPr>
          <w:rFonts w:hint="cs"/>
          <w:rtl/>
        </w:rPr>
        <w:t xml:space="preserve"> </w:t>
      </w:r>
      <w:r w:rsidRPr="008841BF">
        <w:rPr>
          <w:rFonts w:hint="cs"/>
          <w:sz w:val="16"/>
          <w:szCs w:val="16"/>
          <w:rtl/>
        </w:rPr>
        <w:t>גדול הפרשנים ה</w:t>
      </w:r>
      <w:r>
        <w:rPr>
          <w:rFonts w:hint="cs"/>
          <w:sz w:val="16"/>
          <w:szCs w:val="16"/>
          <w:rtl/>
        </w:rPr>
        <w:t>אוחז בגישה זו הינו רש"י בפרושו ע</w:t>
      </w:r>
      <w:r w:rsidRPr="008841BF">
        <w:rPr>
          <w:rFonts w:hint="cs"/>
          <w:sz w:val="16"/>
          <w:szCs w:val="16"/>
          <w:rtl/>
        </w:rPr>
        <w:t xml:space="preserve">ל התורה בבראשית מו, א, וכן פסק </w:t>
      </w:r>
      <w:proofErr w:type="spellStart"/>
      <w:r w:rsidRPr="008841BF">
        <w:rPr>
          <w:rFonts w:hint="cs"/>
          <w:sz w:val="16"/>
          <w:szCs w:val="16"/>
          <w:rtl/>
        </w:rPr>
        <w:t>הרמ"א</w:t>
      </w:r>
      <w:proofErr w:type="spellEnd"/>
      <w:r w:rsidRPr="008841BF">
        <w:rPr>
          <w:rFonts w:hint="cs"/>
          <w:sz w:val="16"/>
          <w:szCs w:val="16"/>
          <w:rtl/>
        </w:rPr>
        <w:t>.</w:t>
      </w:r>
      <w:r>
        <w:rPr>
          <w:rFonts w:hint="cs"/>
          <w:rtl/>
        </w:rPr>
        <w:t xml:space="preserve"> </w:t>
      </w:r>
      <w:r w:rsidRPr="00B86457">
        <w:rPr>
          <w:rFonts w:cs="Arial" w:hint="cs"/>
          <w:sz w:val="16"/>
          <w:szCs w:val="16"/>
          <w:rtl/>
        </w:rPr>
        <w:t xml:space="preserve">פרשנים אחרים סבורים כי מדובר בחיוב העומד בפני עצמו, אך מכל מקום כולם </w:t>
      </w:r>
      <w:r>
        <w:rPr>
          <w:rFonts w:cs="Arial" w:hint="cs"/>
          <w:sz w:val="16"/>
          <w:szCs w:val="16"/>
          <w:rtl/>
        </w:rPr>
        <w:t xml:space="preserve">שותפים להסכמה </w:t>
      </w:r>
      <w:r w:rsidRPr="00B86457">
        <w:rPr>
          <w:rFonts w:cs="Arial" w:hint="cs"/>
          <w:sz w:val="16"/>
          <w:szCs w:val="16"/>
          <w:rtl/>
        </w:rPr>
        <w:t>העקרונית</w:t>
      </w:r>
      <w:r w:rsidRPr="00B86457">
        <w:rPr>
          <w:rFonts w:cs="Arial"/>
          <w:sz w:val="16"/>
          <w:szCs w:val="16"/>
          <w:rtl/>
        </w:rPr>
        <w:t xml:space="preserve"> </w:t>
      </w:r>
      <w:r w:rsidRPr="00B86457">
        <w:rPr>
          <w:rFonts w:cs="Arial" w:hint="cs"/>
          <w:sz w:val="16"/>
          <w:szCs w:val="16"/>
          <w:rtl/>
        </w:rPr>
        <w:t>בדבר</w:t>
      </w:r>
      <w:r w:rsidRPr="00B86457">
        <w:rPr>
          <w:rFonts w:cs="Arial"/>
          <w:sz w:val="16"/>
          <w:szCs w:val="16"/>
          <w:rtl/>
        </w:rPr>
        <w:t xml:space="preserve"> </w:t>
      </w:r>
      <w:r w:rsidRPr="00B86457">
        <w:rPr>
          <w:rFonts w:cs="Arial" w:hint="cs"/>
          <w:sz w:val="16"/>
          <w:szCs w:val="16"/>
          <w:rtl/>
        </w:rPr>
        <w:t>עצם</w:t>
      </w:r>
      <w:r w:rsidRPr="00B86457">
        <w:rPr>
          <w:rFonts w:cs="Arial"/>
          <w:sz w:val="16"/>
          <w:szCs w:val="16"/>
          <w:rtl/>
        </w:rPr>
        <w:t xml:space="preserve"> </w:t>
      </w:r>
      <w:r w:rsidRPr="00B86457">
        <w:rPr>
          <w:rFonts w:cs="Arial" w:hint="cs"/>
          <w:sz w:val="16"/>
          <w:szCs w:val="16"/>
          <w:rtl/>
        </w:rPr>
        <w:t>החיוב.</w:t>
      </w:r>
    </w:p>
  </w:footnote>
  <w:footnote w:id="4">
    <w:p w:rsidR="004843CF" w:rsidRPr="009E5B80" w:rsidRDefault="004843CF">
      <w:pPr>
        <w:pStyle w:val="a7"/>
        <w:rPr>
          <w:sz w:val="16"/>
          <w:szCs w:val="16"/>
          <w:rtl/>
        </w:rPr>
      </w:pPr>
      <w:r>
        <w:rPr>
          <w:rStyle w:val="a9"/>
        </w:rPr>
        <w:footnoteRef/>
      </w:r>
      <w:r>
        <w:rPr>
          <w:rtl/>
        </w:rPr>
        <w:t xml:space="preserve"> </w:t>
      </w:r>
      <w:r>
        <w:rPr>
          <w:rFonts w:hint="cs"/>
          <w:sz w:val="16"/>
          <w:szCs w:val="16"/>
          <w:rtl/>
        </w:rPr>
        <w:t xml:space="preserve">מדרש </w:t>
      </w:r>
      <w:proofErr w:type="spellStart"/>
      <w:r>
        <w:rPr>
          <w:rFonts w:hint="cs"/>
          <w:sz w:val="16"/>
          <w:szCs w:val="16"/>
          <w:rtl/>
        </w:rPr>
        <w:t>תנחומא</w:t>
      </w:r>
      <w:proofErr w:type="spellEnd"/>
      <w:r>
        <w:rPr>
          <w:rFonts w:hint="cs"/>
          <w:sz w:val="16"/>
          <w:szCs w:val="16"/>
          <w:rtl/>
        </w:rPr>
        <w:t xml:space="preserve"> לספר בראשית, פרשת תולדות, סימן 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CF" w:rsidRDefault="004843CF">
    <w:pPr>
      <w:pStyle w:val="a3"/>
    </w:pPr>
    <w:r>
      <w:rPr>
        <w:noProof/>
      </w:rPr>
      <w:drawing>
        <wp:anchor distT="0" distB="0" distL="114300" distR="114300" simplePos="0" relativeHeight="251659264" behindDoc="1" locked="0" layoutInCell="1" allowOverlap="1" wp14:anchorId="499A07B0" wp14:editId="3525CEF8">
          <wp:simplePos x="0" y="0"/>
          <wp:positionH relativeFrom="column">
            <wp:posOffset>-1114425</wp:posOffset>
          </wp:positionH>
          <wp:positionV relativeFrom="paragraph">
            <wp:posOffset>-382905</wp:posOffset>
          </wp:positionV>
          <wp:extent cx="7530465" cy="10629900"/>
          <wp:effectExtent l="0" t="0" r="0" b="0"/>
          <wp:wrapNone/>
          <wp:docPr id="1" name="תמונה 1" descr="cid:BEE60E95-0581-45BB-B2A5-4CB4B7C052B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EE60E95-0581-45BB-B2A5-4CB4B7C052B3@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30465" cy="1062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9C"/>
    <w:rsid w:val="00036280"/>
    <w:rsid w:val="0019672B"/>
    <w:rsid w:val="001F77DA"/>
    <w:rsid w:val="00335443"/>
    <w:rsid w:val="003545BF"/>
    <w:rsid w:val="003B3610"/>
    <w:rsid w:val="003C0B1B"/>
    <w:rsid w:val="004843CF"/>
    <w:rsid w:val="004A689E"/>
    <w:rsid w:val="004D2F82"/>
    <w:rsid w:val="006008B1"/>
    <w:rsid w:val="006D245B"/>
    <w:rsid w:val="006D3456"/>
    <w:rsid w:val="006F2611"/>
    <w:rsid w:val="007161C4"/>
    <w:rsid w:val="00780D8F"/>
    <w:rsid w:val="007943AD"/>
    <w:rsid w:val="008838F4"/>
    <w:rsid w:val="008841BF"/>
    <w:rsid w:val="008D48B5"/>
    <w:rsid w:val="008F0AC2"/>
    <w:rsid w:val="008F7131"/>
    <w:rsid w:val="009332E9"/>
    <w:rsid w:val="00966193"/>
    <w:rsid w:val="00997B75"/>
    <w:rsid w:val="00997CD3"/>
    <w:rsid w:val="009E5B80"/>
    <w:rsid w:val="00A12969"/>
    <w:rsid w:val="00A2639C"/>
    <w:rsid w:val="00A302B7"/>
    <w:rsid w:val="00A816EB"/>
    <w:rsid w:val="00AB687C"/>
    <w:rsid w:val="00B22793"/>
    <w:rsid w:val="00B65A9C"/>
    <w:rsid w:val="00B83C08"/>
    <w:rsid w:val="00B86457"/>
    <w:rsid w:val="00C0580C"/>
    <w:rsid w:val="00D74559"/>
    <w:rsid w:val="00D87DB6"/>
    <w:rsid w:val="00DD4932"/>
    <w:rsid w:val="00F232E5"/>
    <w:rsid w:val="00F30300"/>
    <w:rsid w:val="00FA0F40"/>
    <w:rsid w:val="00FE54B1"/>
    <w:rsid w:val="00FF2CED"/>
    <w:rsid w:val="00FF6D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9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8F4"/>
    <w:pPr>
      <w:tabs>
        <w:tab w:val="center" w:pos="4153"/>
        <w:tab w:val="right" w:pos="8306"/>
      </w:tabs>
      <w:spacing w:after="0" w:line="240" w:lineRule="auto"/>
    </w:pPr>
  </w:style>
  <w:style w:type="character" w:customStyle="1" w:styleId="a4">
    <w:name w:val="כותרת עליונה תו"/>
    <w:basedOn w:val="a0"/>
    <w:link w:val="a3"/>
    <w:uiPriority w:val="99"/>
    <w:rsid w:val="008838F4"/>
  </w:style>
  <w:style w:type="paragraph" w:styleId="a5">
    <w:name w:val="footer"/>
    <w:basedOn w:val="a"/>
    <w:link w:val="a6"/>
    <w:uiPriority w:val="99"/>
    <w:unhideWhenUsed/>
    <w:rsid w:val="008838F4"/>
    <w:pPr>
      <w:tabs>
        <w:tab w:val="center" w:pos="4153"/>
        <w:tab w:val="right" w:pos="8306"/>
      </w:tabs>
      <w:spacing w:after="0" w:line="240" w:lineRule="auto"/>
    </w:pPr>
  </w:style>
  <w:style w:type="character" w:customStyle="1" w:styleId="a6">
    <w:name w:val="כותרת תחתונה תו"/>
    <w:basedOn w:val="a0"/>
    <w:link w:val="a5"/>
    <w:uiPriority w:val="99"/>
    <w:rsid w:val="008838F4"/>
  </w:style>
  <w:style w:type="paragraph" w:styleId="a7">
    <w:name w:val="footnote text"/>
    <w:basedOn w:val="a"/>
    <w:link w:val="a8"/>
    <w:uiPriority w:val="99"/>
    <w:semiHidden/>
    <w:unhideWhenUsed/>
    <w:rsid w:val="00997B75"/>
    <w:pPr>
      <w:spacing w:after="0" w:line="240" w:lineRule="auto"/>
    </w:pPr>
    <w:rPr>
      <w:sz w:val="20"/>
      <w:szCs w:val="20"/>
    </w:rPr>
  </w:style>
  <w:style w:type="character" w:customStyle="1" w:styleId="a8">
    <w:name w:val="טקסט הערת שוליים תו"/>
    <w:basedOn w:val="a0"/>
    <w:link w:val="a7"/>
    <w:uiPriority w:val="99"/>
    <w:semiHidden/>
    <w:rsid w:val="00997B75"/>
    <w:rPr>
      <w:sz w:val="20"/>
      <w:szCs w:val="20"/>
    </w:rPr>
  </w:style>
  <w:style w:type="character" w:styleId="a9">
    <w:name w:val="footnote reference"/>
    <w:basedOn w:val="a0"/>
    <w:uiPriority w:val="99"/>
    <w:semiHidden/>
    <w:unhideWhenUsed/>
    <w:rsid w:val="00997B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9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8F4"/>
    <w:pPr>
      <w:tabs>
        <w:tab w:val="center" w:pos="4153"/>
        <w:tab w:val="right" w:pos="8306"/>
      </w:tabs>
      <w:spacing w:after="0" w:line="240" w:lineRule="auto"/>
    </w:pPr>
  </w:style>
  <w:style w:type="character" w:customStyle="1" w:styleId="a4">
    <w:name w:val="כותרת עליונה תו"/>
    <w:basedOn w:val="a0"/>
    <w:link w:val="a3"/>
    <w:uiPriority w:val="99"/>
    <w:rsid w:val="008838F4"/>
  </w:style>
  <w:style w:type="paragraph" w:styleId="a5">
    <w:name w:val="footer"/>
    <w:basedOn w:val="a"/>
    <w:link w:val="a6"/>
    <w:uiPriority w:val="99"/>
    <w:unhideWhenUsed/>
    <w:rsid w:val="008838F4"/>
    <w:pPr>
      <w:tabs>
        <w:tab w:val="center" w:pos="4153"/>
        <w:tab w:val="right" w:pos="8306"/>
      </w:tabs>
      <w:spacing w:after="0" w:line="240" w:lineRule="auto"/>
    </w:pPr>
  </w:style>
  <w:style w:type="character" w:customStyle="1" w:styleId="a6">
    <w:name w:val="כותרת תחתונה תו"/>
    <w:basedOn w:val="a0"/>
    <w:link w:val="a5"/>
    <w:uiPriority w:val="99"/>
    <w:rsid w:val="008838F4"/>
  </w:style>
  <w:style w:type="paragraph" w:styleId="a7">
    <w:name w:val="footnote text"/>
    <w:basedOn w:val="a"/>
    <w:link w:val="a8"/>
    <w:uiPriority w:val="99"/>
    <w:semiHidden/>
    <w:unhideWhenUsed/>
    <w:rsid w:val="00997B75"/>
    <w:pPr>
      <w:spacing w:after="0" w:line="240" w:lineRule="auto"/>
    </w:pPr>
    <w:rPr>
      <w:sz w:val="20"/>
      <w:szCs w:val="20"/>
    </w:rPr>
  </w:style>
  <w:style w:type="character" w:customStyle="1" w:styleId="a8">
    <w:name w:val="טקסט הערת שוליים תו"/>
    <w:basedOn w:val="a0"/>
    <w:link w:val="a7"/>
    <w:uiPriority w:val="99"/>
    <w:semiHidden/>
    <w:rsid w:val="00997B75"/>
    <w:rPr>
      <w:sz w:val="20"/>
      <w:szCs w:val="20"/>
    </w:rPr>
  </w:style>
  <w:style w:type="character" w:styleId="a9">
    <w:name w:val="footnote reference"/>
    <w:basedOn w:val="a0"/>
    <w:uiPriority w:val="99"/>
    <w:semiHidden/>
    <w:unhideWhenUsed/>
    <w:rsid w:val="00997B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BEE60E95-0581-45BB-B2A5-4CB4B7C052B3@loca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siporet\documents\&#1491;&#1507;%20&#1500;&#1493;&#1490;&#1493;%20&#1488;&#1502;&#1493;&#1504;&#1492;%2014.2.1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4A37-7368-4112-9884-03F23C6A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לוגו אמונה 14.2.12</Template>
  <TotalTime>0</TotalTime>
  <Pages>2</Pages>
  <Words>761</Words>
  <Characters>3807</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Tsiporet Shimel</dc:creator>
  <cp:keywords/>
  <dc:description/>
  <cp:lastModifiedBy>Tsiporet Shimel</cp:lastModifiedBy>
  <cp:revision>2</cp:revision>
  <cp:lastPrinted>2012-06-26T08:56:00Z</cp:lastPrinted>
  <dcterms:created xsi:type="dcterms:W3CDTF">2012-06-26T10:30:00Z</dcterms:created>
  <dcterms:modified xsi:type="dcterms:W3CDTF">2012-06-26T10:30:00Z</dcterms:modified>
</cp:coreProperties>
</file>