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C1" w:rsidRDefault="00F665C1" w:rsidP="00936AA9">
      <w:pPr>
        <w:rPr>
          <w:rFonts w:hint="cs"/>
          <w:rtl/>
        </w:rPr>
      </w:pPr>
    </w:p>
    <w:p w:rsidR="00F665C1" w:rsidRPr="00F665C1" w:rsidRDefault="00F665C1" w:rsidP="00967319">
      <w:pPr>
        <w:spacing w:line="276" w:lineRule="auto"/>
        <w:jc w:val="center"/>
        <w:rPr>
          <w:rFonts w:hint="cs"/>
          <w:b/>
          <w:bCs/>
          <w:u w:val="single"/>
          <w:rtl/>
        </w:rPr>
      </w:pPr>
      <w:r w:rsidRPr="00F665C1">
        <w:rPr>
          <w:rFonts w:hint="cs"/>
          <w:b/>
          <w:bCs/>
          <w:u w:val="single"/>
          <w:rtl/>
        </w:rPr>
        <w:t>חוות דעת לעניין תקנון המועצות המקומיות (תיקון מס' 206) (יהודה והשומרון), התשע"ד-2013</w:t>
      </w:r>
      <w:r w:rsidR="00EB1619">
        <w:rPr>
          <w:rFonts w:hint="cs"/>
          <w:b/>
          <w:bCs/>
          <w:u w:val="single"/>
          <w:rtl/>
        </w:rPr>
        <w:t>- צו אלוף מפקד כוחות צה"ל באזור יו"ש</w:t>
      </w:r>
    </w:p>
    <w:p w:rsidR="00F665C1" w:rsidRDefault="00F665C1" w:rsidP="00936AA9">
      <w:pPr>
        <w:rPr>
          <w:rFonts w:hint="cs"/>
          <w:rtl/>
        </w:rPr>
      </w:pPr>
    </w:p>
    <w:p w:rsidR="00F665C1" w:rsidRDefault="00F665C1" w:rsidP="00124B9C">
      <w:pPr>
        <w:spacing w:line="276" w:lineRule="auto"/>
        <w:jc w:val="both"/>
        <w:rPr>
          <w:rFonts w:hint="cs"/>
          <w:rtl/>
        </w:rPr>
      </w:pPr>
      <w:r>
        <w:rPr>
          <w:rFonts w:hint="cs"/>
          <w:rtl/>
        </w:rPr>
        <w:t xml:space="preserve">חוות דעת זו עוסקת בהצעת צו אלוף מפקד כוחות צה"ל באזור יו"ש </w:t>
      </w:r>
      <w:r w:rsidR="00967319">
        <w:rPr>
          <w:rFonts w:hint="cs"/>
          <w:rtl/>
        </w:rPr>
        <w:t>אודות אימוץ הוראות חוק עבודת נשים תשי"ד-1954</w:t>
      </w:r>
      <w:r w:rsidR="006F38B0">
        <w:rPr>
          <w:rFonts w:hint="cs"/>
          <w:rtl/>
        </w:rPr>
        <w:t>,</w:t>
      </w:r>
      <w:r w:rsidR="00967319">
        <w:rPr>
          <w:rFonts w:hint="cs"/>
          <w:rtl/>
        </w:rPr>
        <w:t xml:space="preserve"> במסגרת תחיקת הביטחון באזור יהודה ושומרון.</w:t>
      </w:r>
      <w:r>
        <w:rPr>
          <w:rFonts w:hint="cs"/>
          <w:rtl/>
        </w:rPr>
        <w:t xml:space="preserve"> </w:t>
      </w:r>
    </w:p>
    <w:p w:rsidR="00967319" w:rsidRDefault="00967319" w:rsidP="00124B9C">
      <w:pPr>
        <w:spacing w:line="276" w:lineRule="auto"/>
        <w:jc w:val="both"/>
        <w:rPr>
          <w:rFonts w:hint="cs"/>
          <w:rtl/>
        </w:rPr>
      </w:pPr>
    </w:p>
    <w:p w:rsidR="00936AA9" w:rsidRDefault="00936AA9" w:rsidP="00124B9C">
      <w:pPr>
        <w:spacing w:line="276" w:lineRule="auto"/>
        <w:jc w:val="both"/>
        <w:rPr>
          <w:rFonts w:hint="cs"/>
          <w:b/>
          <w:bCs/>
          <w:u w:val="single"/>
          <w:rtl/>
        </w:rPr>
      </w:pPr>
      <w:r w:rsidRPr="00967319">
        <w:rPr>
          <w:rFonts w:hint="cs"/>
          <w:b/>
          <w:bCs/>
          <w:u w:val="single"/>
          <w:rtl/>
        </w:rPr>
        <w:t>המצב המשפטי כיום</w:t>
      </w:r>
    </w:p>
    <w:p w:rsidR="006F38B0" w:rsidRPr="00967319" w:rsidRDefault="006F38B0" w:rsidP="00124B9C">
      <w:pPr>
        <w:spacing w:line="276" w:lineRule="auto"/>
        <w:jc w:val="both"/>
        <w:rPr>
          <w:rFonts w:hint="cs"/>
          <w:b/>
          <w:bCs/>
          <w:u w:val="single"/>
          <w:rtl/>
        </w:rPr>
      </w:pPr>
    </w:p>
    <w:p w:rsidR="006F38B0" w:rsidRDefault="00967319" w:rsidP="006F38B0">
      <w:pPr>
        <w:spacing w:line="276" w:lineRule="auto"/>
        <w:ind w:left="720" w:hanging="720"/>
        <w:jc w:val="both"/>
        <w:rPr>
          <w:rFonts w:hint="cs"/>
          <w:rtl/>
        </w:rPr>
      </w:pPr>
      <w:r>
        <w:rPr>
          <w:rFonts w:hint="cs"/>
          <w:rtl/>
        </w:rPr>
        <w:t>1.</w:t>
      </w:r>
      <w:r w:rsidR="006F38B0">
        <w:rPr>
          <w:rFonts w:hint="cs"/>
          <w:rtl/>
        </w:rPr>
        <w:tab/>
      </w:r>
      <w:r>
        <w:rPr>
          <w:rFonts w:hint="cs"/>
          <w:rtl/>
        </w:rPr>
        <w:t xml:space="preserve">בהתאם לחוק עבודת נשים בית הדין האזורי לעבודה הינו בעל סמכות </w:t>
      </w:r>
      <w:r w:rsidRPr="008424A4">
        <w:rPr>
          <w:rFonts w:hint="cs"/>
          <w:u w:val="single"/>
          <w:rtl/>
        </w:rPr>
        <w:t>ייחודית</w:t>
      </w:r>
      <w:r>
        <w:rPr>
          <w:rFonts w:hint="cs"/>
          <w:rtl/>
        </w:rPr>
        <w:t xml:space="preserve"> לדון </w:t>
      </w:r>
      <w:r w:rsidR="008424A4">
        <w:rPr>
          <w:rFonts w:hint="cs"/>
          <w:rtl/>
        </w:rPr>
        <w:t>:</w:t>
      </w:r>
    </w:p>
    <w:p w:rsidR="00936AA9" w:rsidRDefault="008424A4" w:rsidP="006F38B0">
      <w:pPr>
        <w:spacing w:line="276" w:lineRule="auto"/>
        <w:ind w:left="720"/>
        <w:jc w:val="both"/>
        <w:rPr>
          <w:rFonts w:hint="cs"/>
          <w:rtl/>
        </w:rPr>
      </w:pPr>
      <w:r>
        <w:rPr>
          <w:rFonts w:hint="cs"/>
          <w:rtl/>
        </w:rPr>
        <w:t xml:space="preserve">א. </w:t>
      </w:r>
      <w:r w:rsidR="00967319">
        <w:rPr>
          <w:rFonts w:hint="cs"/>
          <w:rtl/>
        </w:rPr>
        <w:t>בתובענות שעילתן</w:t>
      </w:r>
      <w:r>
        <w:rPr>
          <w:rFonts w:hint="cs"/>
          <w:rtl/>
        </w:rPr>
        <w:t xml:space="preserve"> מפורטות בסעיף 2 (ג) לחוק (ע"פ סעיף 3 לחוק)</w:t>
      </w:r>
      <w:r w:rsidR="00EB1619">
        <w:rPr>
          <w:rFonts w:hint="cs"/>
          <w:rtl/>
        </w:rPr>
        <w:t>.</w:t>
      </w:r>
    </w:p>
    <w:p w:rsidR="008424A4" w:rsidRDefault="008424A4" w:rsidP="00124B9C">
      <w:pPr>
        <w:spacing w:line="276" w:lineRule="auto"/>
        <w:jc w:val="both"/>
        <w:rPr>
          <w:rFonts w:hint="cs"/>
          <w:rtl/>
        </w:rPr>
      </w:pPr>
      <w:r>
        <w:rPr>
          <w:rFonts w:hint="cs"/>
          <w:rtl/>
        </w:rPr>
        <w:tab/>
        <w:t>ב. בהליך אז</w:t>
      </w:r>
      <w:r w:rsidR="00EB1619">
        <w:rPr>
          <w:rFonts w:hint="cs"/>
          <w:rtl/>
        </w:rPr>
        <w:t>רחי המתנהל בשל הפרת הוראות החוק</w:t>
      </w:r>
      <w:r>
        <w:rPr>
          <w:rFonts w:hint="cs"/>
          <w:rtl/>
        </w:rPr>
        <w:t xml:space="preserve"> (ע"פ סעיף 13א לחוק)</w:t>
      </w:r>
      <w:r w:rsidR="00EB1619">
        <w:rPr>
          <w:rFonts w:hint="cs"/>
          <w:rtl/>
        </w:rPr>
        <w:t>.</w:t>
      </w:r>
    </w:p>
    <w:p w:rsidR="006F38B0" w:rsidRDefault="006F38B0" w:rsidP="006F38B0">
      <w:pPr>
        <w:spacing w:line="276" w:lineRule="auto"/>
        <w:ind w:left="720"/>
        <w:jc w:val="both"/>
        <w:rPr>
          <w:rFonts w:hint="cs"/>
          <w:rtl/>
        </w:rPr>
      </w:pPr>
    </w:p>
    <w:p w:rsidR="008424A4" w:rsidRDefault="008424A4" w:rsidP="006F38B0">
      <w:pPr>
        <w:spacing w:line="276" w:lineRule="auto"/>
        <w:ind w:left="720"/>
        <w:jc w:val="both"/>
        <w:rPr>
          <w:rFonts w:hint="cs"/>
          <w:rtl/>
        </w:rPr>
      </w:pPr>
      <w:r>
        <w:rPr>
          <w:rFonts w:hint="cs"/>
          <w:rtl/>
        </w:rPr>
        <w:t xml:space="preserve">כמו כן </w:t>
      </w:r>
      <w:r w:rsidR="00EB1619">
        <w:rPr>
          <w:rFonts w:hint="cs"/>
          <w:rtl/>
        </w:rPr>
        <w:t>מי שרואה עצמו נפגע מהחלטת שר התמ"ת בהתאם להוראות החוק, רשאי לערער על החלטה זו לבית הדין האזורי לעבודה וזאת תוך 45 יום מהיום שבו הגיעה ההחלטה לידיעתו (ע"פ סעיף 13ד לחוק).</w:t>
      </w:r>
    </w:p>
    <w:p w:rsidR="00EB1619" w:rsidRDefault="00EB1619" w:rsidP="00124B9C">
      <w:pPr>
        <w:spacing w:line="276" w:lineRule="auto"/>
        <w:jc w:val="both"/>
        <w:rPr>
          <w:rFonts w:hint="cs"/>
          <w:rtl/>
        </w:rPr>
      </w:pPr>
    </w:p>
    <w:p w:rsidR="00EB1619" w:rsidRDefault="00EB1619" w:rsidP="007D60DC">
      <w:pPr>
        <w:spacing w:line="276" w:lineRule="auto"/>
        <w:ind w:left="720" w:hanging="720"/>
        <w:jc w:val="both"/>
        <w:rPr>
          <w:rFonts w:hint="cs"/>
          <w:rtl/>
        </w:rPr>
      </w:pPr>
      <w:r>
        <w:rPr>
          <w:rFonts w:hint="cs"/>
          <w:rtl/>
        </w:rPr>
        <w:t xml:space="preserve">2. </w:t>
      </w:r>
      <w:r w:rsidR="006F38B0">
        <w:rPr>
          <w:rFonts w:hint="cs"/>
          <w:rtl/>
        </w:rPr>
        <w:tab/>
      </w:r>
      <w:r>
        <w:rPr>
          <w:rFonts w:hint="cs"/>
          <w:rtl/>
        </w:rPr>
        <w:t xml:space="preserve">בהתאם לנוסח המוצע בהצעת צו האלוף בכל מקום </w:t>
      </w:r>
      <w:r w:rsidR="007D60DC">
        <w:rPr>
          <w:rFonts w:hint="cs"/>
          <w:rtl/>
        </w:rPr>
        <w:t xml:space="preserve">בצו האלוף </w:t>
      </w:r>
      <w:r>
        <w:rPr>
          <w:rFonts w:hint="cs"/>
          <w:rtl/>
        </w:rPr>
        <w:t xml:space="preserve">בו מופיעים בחוק המילים "בית הדין האזורי לעבודה" יבואו במקומם המילים "בית המשפט לעניינים מקומיים", וכן בכל מקום בו מופיעה המילה סמכות "ייחודית" </w:t>
      </w:r>
      <w:r>
        <w:rPr>
          <w:rtl/>
        </w:rPr>
        <w:t>–</w:t>
      </w:r>
      <w:r>
        <w:rPr>
          <w:rFonts w:hint="cs"/>
          <w:rtl/>
        </w:rPr>
        <w:t xml:space="preserve"> היא תימחק.</w:t>
      </w:r>
    </w:p>
    <w:p w:rsidR="008424A4" w:rsidRDefault="008424A4" w:rsidP="00124B9C">
      <w:pPr>
        <w:spacing w:line="276" w:lineRule="auto"/>
        <w:jc w:val="both"/>
        <w:rPr>
          <w:rFonts w:hint="cs"/>
          <w:rtl/>
        </w:rPr>
      </w:pPr>
    </w:p>
    <w:p w:rsidR="00936AA9" w:rsidRPr="00EB1619" w:rsidRDefault="00936AA9" w:rsidP="00124B9C">
      <w:pPr>
        <w:spacing w:line="276" w:lineRule="auto"/>
        <w:jc w:val="both"/>
        <w:rPr>
          <w:rFonts w:hint="cs"/>
          <w:b/>
          <w:bCs/>
          <w:u w:val="single"/>
          <w:rtl/>
        </w:rPr>
      </w:pPr>
      <w:r w:rsidRPr="00EB1619">
        <w:rPr>
          <w:rFonts w:hint="cs"/>
          <w:b/>
          <w:bCs/>
          <w:u w:val="single"/>
          <w:rtl/>
        </w:rPr>
        <w:t>פגיעה בזכויות נשים כתוצאה מהחלת הצו בנוסחו הנוכחי</w:t>
      </w:r>
    </w:p>
    <w:p w:rsidR="00936AA9" w:rsidRDefault="00936AA9" w:rsidP="00124B9C">
      <w:pPr>
        <w:spacing w:line="276" w:lineRule="auto"/>
        <w:jc w:val="both"/>
        <w:rPr>
          <w:rFonts w:hint="cs"/>
          <w:rtl/>
        </w:rPr>
      </w:pPr>
    </w:p>
    <w:p w:rsidR="00124B9C" w:rsidRDefault="00124B9C" w:rsidP="006F38B0">
      <w:pPr>
        <w:spacing w:line="276" w:lineRule="auto"/>
        <w:ind w:left="720" w:hanging="720"/>
        <w:jc w:val="both"/>
        <w:rPr>
          <w:rFonts w:hint="cs"/>
          <w:rtl/>
        </w:rPr>
      </w:pPr>
      <w:r>
        <w:rPr>
          <w:rFonts w:hint="cs"/>
          <w:rtl/>
        </w:rPr>
        <w:t xml:space="preserve">3. </w:t>
      </w:r>
      <w:r w:rsidR="006F38B0">
        <w:rPr>
          <w:rFonts w:hint="cs"/>
          <w:rtl/>
        </w:rPr>
        <w:tab/>
      </w:r>
      <w:r>
        <w:rPr>
          <w:rFonts w:hint="cs"/>
          <w:rtl/>
        </w:rPr>
        <w:t>הצו בנוסחו הנוכחי יוצר סיטואציה השוללת את סמכותו של ביה"ד לעבודה, במיוחד כאשר החוק עצמו מדבר על סמכות "ייחודית", ומכאן עולה שאלת הסמכות הטריטוריאלית של ביה"ד. לפיכך, הצו עצמו חייב</w:t>
      </w:r>
      <w:r w:rsidR="007D60DC">
        <w:rPr>
          <w:rFonts w:hint="cs"/>
          <w:rtl/>
        </w:rPr>
        <w:t xml:space="preserve"> להח</w:t>
      </w:r>
      <w:r>
        <w:rPr>
          <w:rFonts w:hint="cs"/>
          <w:rtl/>
        </w:rPr>
        <w:t>יל באופן ברור את העובדה כי מדובר בסמכות מקבילה הן לבית המשפט לעניינים מקומיים והן לביה"ד האזורי לעבודה.</w:t>
      </w:r>
    </w:p>
    <w:p w:rsidR="00124B9C" w:rsidRDefault="00124B9C" w:rsidP="002B2CCC">
      <w:pPr>
        <w:spacing w:line="276" w:lineRule="auto"/>
        <w:jc w:val="both"/>
        <w:rPr>
          <w:rFonts w:hint="cs"/>
          <w:rtl/>
        </w:rPr>
      </w:pPr>
    </w:p>
    <w:p w:rsidR="00124B9C" w:rsidRDefault="00124B9C" w:rsidP="006F38B0">
      <w:pPr>
        <w:spacing w:line="276" w:lineRule="auto"/>
        <w:ind w:left="720" w:hanging="720"/>
        <w:jc w:val="both"/>
        <w:rPr>
          <w:rFonts w:hint="cs"/>
          <w:rtl/>
        </w:rPr>
      </w:pPr>
      <w:r>
        <w:rPr>
          <w:rFonts w:hint="cs"/>
          <w:rtl/>
        </w:rPr>
        <w:t xml:space="preserve">4. </w:t>
      </w:r>
      <w:r w:rsidR="006F38B0">
        <w:rPr>
          <w:rFonts w:hint="cs"/>
          <w:rtl/>
        </w:rPr>
        <w:tab/>
      </w:r>
      <w:r>
        <w:rPr>
          <w:rFonts w:hint="cs"/>
          <w:rtl/>
        </w:rPr>
        <w:t xml:space="preserve">ואולם, במידה ותחול סמכות מקבילה </w:t>
      </w:r>
      <w:r w:rsidR="00A518D8">
        <w:rPr>
          <w:rFonts w:hint="cs"/>
          <w:rtl/>
        </w:rPr>
        <w:t xml:space="preserve">הדבר עלול לפגוע באופן משמעותי בציבור הנשים העובדות, בשל הנחיתות בה תמצא האשה העובדת מול המעסיק במצב זה. </w:t>
      </w:r>
    </w:p>
    <w:p w:rsidR="002B2CCC" w:rsidRDefault="00A518D8" w:rsidP="007D60DC">
      <w:pPr>
        <w:spacing w:line="276" w:lineRule="auto"/>
        <w:ind w:left="720"/>
        <w:jc w:val="both"/>
        <w:rPr>
          <w:rFonts w:hint="cs"/>
          <w:rtl/>
        </w:rPr>
      </w:pPr>
      <w:r>
        <w:rPr>
          <w:rFonts w:hint="cs"/>
          <w:rtl/>
        </w:rPr>
        <w:t>כך לדוג', במידה ומתקבלת החלטת משרד התמ"ת בנוגע לפטורי אשה, כאמור בהתאם לסעיף 13 ד</w:t>
      </w:r>
      <w:r w:rsidR="007D60DC">
        <w:rPr>
          <w:rFonts w:hint="cs"/>
          <w:rtl/>
        </w:rPr>
        <w:t xml:space="preserve"> לחוק,</w:t>
      </w:r>
      <w:r>
        <w:rPr>
          <w:rFonts w:hint="cs"/>
          <w:rtl/>
        </w:rPr>
        <w:t xml:space="preserve"> קיימת אפשרות לערער על ההחלטה לביה"ד האזורי. </w:t>
      </w:r>
      <w:r w:rsidR="007D60DC">
        <w:rPr>
          <w:rFonts w:hint="cs"/>
          <w:rtl/>
        </w:rPr>
        <w:t xml:space="preserve">הערעור יכול שיוגש בידי העובדת או המעסיק. </w:t>
      </w:r>
      <w:r>
        <w:rPr>
          <w:rFonts w:hint="cs"/>
          <w:rtl/>
        </w:rPr>
        <w:t xml:space="preserve">בפועל, רוב הערעורים בנוגע להחלטות אלה הם ערעורים המוגשים ע"י המעסיקים. בהתאם להצעה הנדונה כעת, בעקבות מתן סמכות מקבילה הן לבית המשפט לעניינים מקומיים והן לבית הדין האזורי לעבודה יווצר מרוץ סמכויות </w:t>
      </w:r>
      <w:r w:rsidR="002B2CCC">
        <w:rPr>
          <w:rFonts w:hint="cs"/>
          <w:rtl/>
        </w:rPr>
        <w:t xml:space="preserve">מי </w:t>
      </w:r>
      <w:r w:rsidR="002B2CCC">
        <w:rPr>
          <w:rFonts w:hint="cs"/>
          <w:rtl/>
        </w:rPr>
        <w:lastRenderedPageBreak/>
        <w:t xml:space="preserve">הראשון שיגיש את ערעורו האשה העובדת או המעסיק והיכן. במרוץ זה, מרבית הסיכויים כי ידו של המעסיק תהא על העליונה- גם בשל הניסיון הרב שלו מול עובדים רבים ואחרים </w:t>
      </w:r>
      <w:r w:rsidR="007D60DC">
        <w:rPr>
          <w:rFonts w:hint="cs"/>
          <w:rtl/>
        </w:rPr>
        <w:t xml:space="preserve">בהגשת ערעורים מעין כלה למול </w:t>
      </w:r>
      <w:r w:rsidR="002B2CCC">
        <w:rPr>
          <w:rFonts w:hint="cs"/>
          <w:rtl/>
        </w:rPr>
        <w:t xml:space="preserve">האשה העובדת </w:t>
      </w:r>
      <w:r w:rsidR="007D60DC">
        <w:rPr>
          <w:rFonts w:hint="cs"/>
          <w:rtl/>
        </w:rPr>
        <w:t>ש</w:t>
      </w:r>
      <w:r w:rsidR="002B2CCC">
        <w:rPr>
          <w:rFonts w:hint="cs"/>
          <w:rtl/>
        </w:rPr>
        <w:t xml:space="preserve">הינה </w:t>
      </w:r>
      <w:r w:rsidR="007D60DC">
        <w:rPr>
          <w:rFonts w:hint="cs"/>
          <w:rtl/>
        </w:rPr>
        <w:t xml:space="preserve">בד"כ </w:t>
      </w:r>
      <w:r w:rsidR="002B2CCC">
        <w:rPr>
          <w:rFonts w:hint="cs"/>
          <w:rtl/>
        </w:rPr>
        <w:t>חסרת נסיון</w:t>
      </w:r>
      <w:r w:rsidR="007D60DC">
        <w:rPr>
          <w:rFonts w:hint="cs"/>
          <w:rtl/>
        </w:rPr>
        <w:t xml:space="preserve"> בהגשתם, וכן בשל העובדה כי ייתכן והעובדת </w:t>
      </w:r>
      <w:r w:rsidR="002B2CCC">
        <w:rPr>
          <w:rFonts w:hint="cs"/>
          <w:rtl/>
        </w:rPr>
        <w:t xml:space="preserve">תרצה להיעזר בייעוץ וליווי משפטי להליך </w:t>
      </w:r>
      <w:r w:rsidR="007D60DC">
        <w:rPr>
          <w:rFonts w:hint="cs"/>
          <w:rtl/>
        </w:rPr>
        <w:t>(</w:t>
      </w:r>
      <w:r w:rsidR="002B2CCC">
        <w:rPr>
          <w:rFonts w:hint="cs"/>
          <w:rtl/>
        </w:rPr>
        <w:t>דבר ששוב אינה רגילה בו</w:t>
      </w:r>
      <w:r w:rsidR="007D60DC">
        <w:rPr>
          <w:rFonts w:hint="cs"/>
          <w:rtl/>
        </w:rPr>
        <w:t xml:space="preserve"> ולוקח זמן רב)</w:t>
      </w:r>
      <w:r w:rsidR="002B2CCC">
        <w:rPr>
          <w:rFonts w:hint="cs"/>
          <w:rtl/>
        </w:rPr>
        <w:t>, בעוד שלמעסיק יש ברוב המקרים ליווי משפטי בהתנהלות השוטפת של העסק, כך שתוצאותיו של אותו "מרוץ" עתידי ידועות מראש והאשה העובדת תצא נפגעת ממנו כשידה על התחתונה.</w:t>
      </w:r>
    </w:p>
    <w:p w:rsidR="00A518D8" w:rsidRDefault="002B2CCC" w:rsidP="002B2CCC">
      <w:pPr>
        <w:spacing w:line="276" w:lineRule="auto"/>
        <w:jc w:val="both"/>
        <w:rPr>
          <w:rFonts w:hint="cs"/>
          <w:rtl/>
        </w:rPr>
      </w:pPr>
      <w:r>
        <w:rPr>
          <w:rFonts w:hint="cs"/>
          <w:rtl/>
        </w:rPr>
        <w:t xml:space="preserve"> </w:t>
      </w:r>
    </w:p>
    <w:p w:rsidR="00124B9C" w:rsidRDefault="006F38B0" w:rsidP="006F38B0">
      <w:pPr>
        <w:spacing w:line="276" w:lineRule="auto"/>
        <w:ind w:left="720" w:hanging="720"/>
        <w:jc w:val="both"/>
        <w:rPr>
          <w:rFonts w:hint="cs"/>
          <w:rtl/>
        </w:rPr>
      </w:pPr>
      <w:r>
        <w:rPr>
          <w:rFonts w:hint="cs"/>
          <w:rtl/>
        </w:rPr>
        <w:t>5.</w:t>
      </w:r>
      <w:r>
        <w:rPr>
          <w:rFonts w:hint="cs"/>
          <w:rtl/>
        </w:rPr>
        <w:tab/>
        <w:t>ו</w:t>
      </w:r>
      <w:bookmarkStart w:id="0" w:name="_GoBack"/>
      <w:bookmarkEnd w:id="0"/>
      <w:r>
        <w:rPr>
          <w:rFonts w:hint="cs"/>
          <w:rtl/>
        </w:rPr>
        <w:t>יודגש,</w:t>
      </w:r>
      <w:r w:rsidR="00A518D8">
        <w:rPr>
          <w:rFonts w:hint="cs"/>
          <w:rtl/>
        </w:rPr>
        <w:t xml:space="preserve"> </w:t>
      </w:r>
      <w:r w:rsidR="00A518D8" w:rsidRPr="002B2CCC">
        <w:rPr>
          <w:rFonts w:hint="cs"/>
          <w:u w:val="single"/>
          <w:rtl/>
        </w:rPr>
        <w:t>רוב</w:t>
      </w:r>
      <w:r w:rsidR="00A518D8">
        <w:rPr>
          <w:rFonts w:hint="cs"/>
          <w:rtl/>
        </w:rPr>
        <w:t xml:space="preserve"> תביעותיהם של מעסיקים כנגד נשים נעשות במסגרת חוק עבודת נשים, כך שקיימת משמעות עצומה וסכנה ממשית לפגיעה בציבור הנשים, במידה ויתאפשר מרוץ סמכויות והחלת סמכות מקבילה דווקא במסגרת אימוץ חוק זה. </w:t>
      </w:r>
    </w:p>
    <w:p w:rsidR="002B2CCC" w:rsidRDefault="002B2CCC" w:rsidP="002B2CCC">
      <w:pPr>
        <w:spacing w:line="276" w:lineRule="auto"/>
        <w:jc w:val="both"/>
        <w:rPr>
          <w:rFonts w:hint="cs"/>
          <w:rtl/>
        </w:rPr>
      </w:pPr>
    </w:p>
    <w:p w:rsidR="002B2CCC" w:rsidRDefault="002B2CCC" w:rsidP="002B2CCC">
      <w:pPr>
        <w:spacing w:line="276" w:lineRule="auto"/>
        <w:jc w:val="both"/>
        <w:rPr>
          <w:rFonts w:hint="cs"/>
          <w:b/>
          <w:bCs/>
          <w:u w:val="single"/>
          <w:rtl/>
        </w:rPr>
      </w:pPr>
      <w:r w:rsidRPr="002B2CCC">
        <w:rPr>
          <w:rFonts w:hint="cs"/>
          <w:b/>
          <w:bCs/>
          <w:u w:val="single"/>
          <w:rtl/>
        </w:rPr>
        <w:t>לסיכום</w:t>
      </w:r>
    </w:p>
    <w:p w:rsidR="006F38B0" w:rsidRDefault="006F38B0" w:rsidP="002B2CCC">
      <w:pPr>
        <w:spacing w:line="276" w:lineRule="auto"/>
        <w:jc w:val="both"/>
        <w:rPr>
          <w:rFonts w:hint="cs"/>
          <w:b/>
          <w:bCs/>
          <w:u w:val="single"/>
          <w:rtl/>
        </w:rPr>
      </w:pPr>
    </w:p>
    <w:p w:rsidR="002B2CCC" w:rsidRDefault="006F38B0" w:rsidP="006F38B0">
      <w:pPr>
        <w:spacing w:line="276" w:lineRule="auto"/>
        <w:ind w:left="720"/>
        <w:jc w:val="both"/>
        <w:rPr>
          <w:rFonts w:hint="cs"/>
          <w:rtl/>
        </w:rPr>
      </w:pPr>
      <w:r>
        <w:rPr>
          <w:rFonts w:hint="cs"/>
          <w:rtl/>
        </w:rPr>
        <w:t xml:space="preserve">הצעת צו האלוף כפי שהוצעה משמעותה יצירת </w:t>
      </w:r>
      <w:r>
        <w:rPr>
          <w:rFonts w:hint="cs"/>
          <w:rtl/>
        </w:rPr>
        <w:t xml:space="preserve">מודל </w:t>
      </w:r>
      <w:r>
        <w:rPr>
          <w:rFonts w:hint="cs"/>
          <w:rtl/>
        </w:rPr>
        <w:t xml:space="preserve">חדש </w:t>
      </w:r>
      <w:r>
        <w:rPr>
          <w:rFonts w:hint="cs"/>
          <w:rtl/>
        </w:rPr>
        <w:t>של "מרוץ סמכויות" בין הערכאות השונות</w:t>
      </w:r>
      <w:r>
        <w:rPr>
          <w:rFonts w:hint="cs"/>
          <w:rtl/>
        </w:rPr>
        <w:t>, וסופה שתוביל לפגיעה משמעותית בזכויות ציבור הנשים העובדות שכן אותו "מרוץ" יפגע בזכויותיהן, כפי שפורט לעיל.</w:t>
      </w:r>
    </w:p>
    <w:p w:rsidR="006F38B0" w:rsidRDefault="006F38B0" w:rsidP="006F38B0">
      <w:pPr>
        <w:spacing w:line="276" w:lineRule="auto"/>
        <w:jc w:val="both"/>
        <w:rPr>
          <w:rFonts w:hint="cs"/>
          <w:rtl/>
        </w:rPr>
      </w:pPr>
    </w:p>
    <w:p w:rsidR="006F38B0" w:rsidRPr="002B2CCC" w:rsidRDefault="006F38B0" w:rsidP="006F38B0">
      <w:pPr>
        <w:spacing w:line="276" w:lineRule="auto"/>
        <w:jc w:val="both"/>
        <w:rPr>
          <w:rFonts w:hint="cs"/>
          <w:rtl/>
        </w:rPr>
      </w:pPr>
      <w:r>
        <w:rPr>
          <w:rFonts w:hint="cs"/>
          <w:rtl/>
        </w:rPr>
        <w:t xml:space="preserve"> </w:t>
      </w:r>
    </w:p>
    <w:sectPr w:rsidR="006F38B0" w:rsidRPr="002B2CCC" w:rsidSect="006F5804">
      <w:headerReference w:type="default" r:id="rId8"/>
      <w:pgSz w:w="11906" w:h="16838"/>
      <w:pgMar w:top="215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A9" w:rsidRDefault="00936AA9">
      <w:r>
        <w:separator/>
      </w:r>
    </w:p>
  </w:endnote>
  <w:endnote w:type="continuationSeparator" w:id="0">
    <w:p w:rsidR="00936AA9" w:rsidRDefault="009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A9" w:rsidRDefault="00936AA9">
      <w:r>
        <w:separator/>
      </w:r>
    </w:p>
  </w:footnote>
  <w:footnote w:type="continuationSeparator" w:id="0">
    <w:p w:rsidR="00936AA9" w:rsidRDefault="0093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71" w:rsidRDefault="007D60DC">
    <w:pPr>
      <w:pStyle w:val="a3"/>
    </w:pPr>
    <w:r>
      <w:rPr>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-449580</wp:posOffset>
          </wp:positionV>
          <wp:extent cx="7530465" cy="10629900"/>
          <wp:effectExtent l="0" t="0" r="0" b="0"/>
          <wp:wrapNone/>
          <wp:docPr id="1" name="תמונה 1" descr="cid:BEE60E95-0581-45BB-B2A5-4CB4B7C052B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E60E95-0581-45BB-B2A5-4CB4B7C052B3@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046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0706"/>
    <w:multiLevelType w:val="hybridMultilevel"/>
    <w:tmpl w:val="DF9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15A1A"/>
    <w:multiLevelType w:val="hybridMultilevel"/>
    <w:tmpl w:val="5E88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F1D16"/>
    <w:multiLevelType w:val="hybridMultilevel"/>
    <w:tmpl w:val="3984D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A9"/>
    <w:rsid w:val="001102E5"/>
    <w:rsid w:val="00124B9C"/>
    <w:rsid w:val="002110DE"/>
    <w:rsid w:val="002A5D1A"/>
    <w:rsid w:val="002B2CCC"/>
    <w:rsid w:val="00437CD3"/>
    <w:rsid w:val="00480AE6"/>
    <w:rsid w:val="0053441F"/>
    <w:rsid w:val="00570196"/>
    <w:rsid w:val="006376C1"/>
    <w:rsid w:val="00656527"/>
    <w:rsid w:val="006F38B0"/>
    <w:rsid w:val="006F5804"/>
    <w:rsid w:val="007D60DC"/>
    <w:rsid w:val="008424A4"/>
    <w:rsid w:val="00936AA9"/>
    <w:rsid w:val="00967319"/>
    <w:rsid w:val="00A06B65"/>
    <w:rsid w:val="00A518D8"/>
    <w:rsid w:val="00B55271"/>
    <w:rsid w:val="00B838C7"/>
    <w:rsid w:val="00C15AFA"/>
    <w:rsid w:val="00CA3BFE"/>
    <w:rsid w:val="00EB1619"/>
    <w:rsid w:val="00EB62D7"/>
    <w:rsid w:val="00F66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B62D7"/>
    <w:pPr>
      <w:tabs>
        <w:tab w:val="center" w:pos="4153"/>
        <w:tab w:val="right" w:pos="8306"/>
      </w:tabs>
    </w:pPr>
  </w:style>
  <w:style w:type="paragraph" w:styleId="a4">
    <w:name w:val="footer"/>
    <w:basedOn w:val="a"/>
    <w:rsid w:val="00EB62D7"/>
    <w:pPr>
      <w:tabs>
        <w:tab w:val="center" w:pos="4153"/>
        <w:tab w:val="right" w:pos="8306"/>
      </w:tabs>
    </w:pPr>
  </w:style>
  <w:style w:type="paragraph" w:styleId="a5">
    <w:name w:val="Balloon Text"/>
    <w:basedOn w:val="a"/>
    <w:semiHidden/>
    <w:rsid w:val="00EB6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B62D7"/>
    <w:pPr>
      <w:tabs>
        <w:tab w:val="center" w:pos="4153"/>
        <w:tab w:val="right" w:pos="8306"/>
      </w:tabs>
    </w:pPr>
  </w:style>
  <w:style w:type="paragraph" w:styleId="a4">
    <w:name w:val="footer"/>
    <w:basedOn w:val="a"/>
    <w:rsid w:val="00EB62D7"/>
    <w:pPr>
      <w:tabs>
        <w:tab w:val="center" w:pos="4153"/>
        <w:tab w:val="right" w:pos="8306"/>
      </w:tabs>
    </w:pPr>
  </w:style>
  <w:style w:type="paragraph" w:styleId="a5">
    <w:name w:val="Balloon Text"/>
    <w:basedOn w:val="a"/>
    <w:semiHidden/>
    <w:rsid w:val="00EB6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BEE60E95-0581-45BB-B2A5-4CB4B7C052B3@loca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poret\Desktop\&#1491;&#1507;%20&#1500;&#1493;&#1490;&#1493;%20&#1488;&#1502;&#1493;&#1504;&#1492;%20&#1495;&#1491;&#1513;%207.10.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אמונה חדש 7.10.dot</Template>
  <TotalTime>94</TotalTime>
  <Pages>2</Pages>
  <Words>395</Words>
  <Characters>2253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Emunah</Company>
  <LinksUpToDate>false</LinksUpToDate>
  <CharactersWithSpaces>2643</CharactersWithSpaces>
  <SharedDoc>false</SharedDoc>
  <HLinks>
    <vt:vector size="6" baseType="variant">
      <vt:variant>
        <vt:i4>4063250</vt:i4>
      </vt:variant>
      <vt:variant>
        <vt:i4>-1</vt:i4>
      </vt:variant>
      <vt:variant>
        <vt:i4>2049</vt:i4>
      </vt:variant>
      <vt:variant>
        <vt:i4>1</vt:i4>
      </vt:variant>
      <vt:variant>
        <vt:lpwstr>cid:BEE60E95-0581-45BB-B2A5-4CB4B7C052B3@local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1</cp:revision>
  <cp:lastPrinted>2010-07-19T08:42:00Z</cp:lastPrinted>
  <dcterms:created xsi:type="dcterms:W3CDTF">2013-10-14T08:50:00Z</dcterms:created>
  <dcterms:modified xsi:type="dcterms:W3CDTF">2013-10-14T10:29:00Z</dcterms:modified>
</cp:coreProperties>
</file>